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F9B" w:rsidRDefault="004A5F9B" w:rsidP="00E10EF6">
      <w:pPr>
        <w:jc w:val="center"/>
        <w:rPr>
          <w:rFonts w:cs="Arial"/>
          <w:b/>
          <w:sz w:val="24"/>
          <w:szCs w:val="24"/>
        </w:rPr>
      </w:pPr>
      <w:bookmarkStart w:id="0" w:name="_GoBack"/>
      <w:bookmarkEnd w:id="0"/>
    </w:p>
    <w:p w:rsidR="00F22ACA" w:rsidRDefault="000A4299" w:rsidP="00E10EF6">
      <w:pPr>
        <w:jc w:val="center"/>
        <w:rPr>
          <w:rFonts w:cs="Arial"/>
          <w:b/>
          <w:sz w:val="24"/>
          <w:szCs w:val="24"/>
        </w:rPr>
      </w:pPr>
      <w:r w:rsidRPr="00B01952">
        <w:rPr>
          <w:rFonts w:cs="Arial"/>
          <w:b/>
          <w:sz w:val="24"/>
          <w:szCs w:val="24"/>
        </w:rPr>
        <w:t>NHS East Lancashire</w:t>
      </w:r>
      <w:r w:rsidR="00765891">
        <w:rPr>
          <w:rFonts w:cs="Arial"/>
          <w:b/>
          <w:sz w:val="24"/>
          <w:szCs w:val="24"/>
        </w:rPr>
        <w:t xml:space="preserve"> CCG</w:t>
      </w:r>
      <w:r w:rsidR="00F22ACA">
        <w:rPr>
          <w:rFonts w:cs="Arial"/>
          <w:b/>
          <w:sz w:val="24"/>
          <w:szCs w:val="24"/>
        </w:rPr>
        <w:t xml:space="preserve"> and Blackburn with Darwen (BwD)</w:t>
      </w:r>
      <w:r w:rsidRPr="00B01952">
        <w:rPr>
          <w:rFonts w:cs="Arial"/>
          <w:b/>
          <w:sz w:val="24"/>
          <w:szCs w:val="24"/>
        </w:rPr>
        <w:t xml:space="preserve"> CCG </w:t>
      </w:r>
    </w:p>
    <w:p w:rsidR="00175946" w:rsidRPr="00F22ACA" w:rsidRDefault="00CD2203" w:rsidP="00F22ACA">
      <w:pPr>
        <w:jc w:val="center"/>
        <w:rPr>
          <w:rFonts w:cs="Arial"/>
          <w:b/>
          <w:sz w:val="24"/>
          <w:szCs w:val="24"/>
        </w:rPr>
      </w:pPr>
      <w:r>
        <w:rPr>
          <w:rFonts w:cs="Arial"/>
          <w:b/>
          <w:sz w:val="24"/>
          <w:szCs w:val="24"/>
        </w:rPr>
        <w:t>Cancer Performance U</w:t>
      </w:r>
      <w:r w:rsidR="00175946" w:rsidRPr="00B01952">
        <w:rPr>
          <w:rFonts w:cs="Arial"/>
          <w:b/>
          <w:sz w:val="24"/>
          <w:szCs w:val="24"/>
        </w:rPr>
        <w:t>pdate</w:t>
      </w:r>
      <w:r w:rsidR="00A07477">
        <w:rPr>
          <w:rFonts w:cs="Arial"/>
          <w:b/>
          <w:sz w:val="24"/>
          <w:szCs w:val="24"/>
        </w:rPr>
        <w:t>: March</w:t>
      </w:r>
      <w:r w:rsidR="00E151AA">
        <w:rPr>
          <w:rFonts w:cs="Arial"/>
          <w:b/>
          <w:sz w:val="24"/>
          <w:szCs w:val="24"/>
        </w:rPr>
        <w:t xml:space="preserve"> 2016</w:t>
      </w:r>
    </w:p>
    <w:p w:rsidR="003A6EAA" w:rsidRPr="00B01952" w:rsidRDefault="003A6EAA" w:rsidP="00F22ACA">
      <w:pPr>
        <w:rPr>
          <w:rFonts w:cs="Arial"/>
          <w:b/>
        </w:rPr>
      </w:pPr>
    </w:p>
    <w:p w:rsidR="00C63F26" w:rsidRPr="00B01952" w:rsidRDefault="00C63F26" w:rsidP="002D67D6">
      <w:pPr>
        <w:jc w:val="center"/>
        <w:rPr>
          <w:rFonts w:cs="Arial"/>
          <w:b/>
        </w:rPr>
      </w:pPr>
    </w:p>
    <w:p w:rsidR="00B01952" w:rsidRDefault="00B01952" w:rsidP="003D5E42">
      <w:pPr>
        <w:pStyle w:val="ListParagraph"/>
        <w:numPr>
          <w:ilvl w:val="0"/>
          <w:numId w:val="2"/>
        </w:numPr>
        <w:rPr>
          <w:rFonts w:ascii="Arial" w:hAnsi="Arial" w:cs="Arial"/>
          <w:b/>
        </w:rPr>
      </w:pPr>
      <w:r w:rsidRPr="00B01952">
        <w:rPr>
          <w:rFonts w:ascii="Arial" w:hAnsi="Arial" w:cs="Arial"/>
          <w:b/>
        </w:rPr>
        <w:t>Introduction</w:t>
      </w:r>
    </w:p>
    <w:p w:rsidR="00B01952" w:rsidRDefault="00B01952" w:rsidP="00F22ACA">
      <w:pPr>
        <w:ind w:left="720"/>
        <w:rPr>
          <w:rFonts w:cs="Arial"/>
        </w:rPr>
      </w:pPr>
      <w:r>
        <w:rPr>
          <w:rFonts w:cs="Arial"/>
        </w:rPr>
        <w:t>Achievement of National Cancer Waiting Time (CWT) standards is considered by patients and the public to be an indicator of the quality of cancer diagnosis, treatment and care NHS organisations deliver.</w:t>
      </w:r>
    </w:p>
    <w:p w:rsidR="00B01952" w:rsidRDefault="00B01952" w:rsidP="0012295E">
      <w:pPr>
        <w:rPr>
          <w:rFonts w:cs="Arial"/>
        </w:rPr>
      </w:pPr>
    </w:p>
    <w:p w:rsidR="00B01952" w:rsidRDefault="00821BDC" w:rsidP="00F22ACA">
      <w:pPr>
        <w:ind w:left="720"/>
        <w:rPr>
          <w:rFonts w:cs="Arial"/>
        </w:rPr>
      </w:pPr>
      <w:r>
        <w:rPr>
          <w:rFonts w:cs="Arial"/>
        </w:rPr>
        <w:t xml:space="preserve">In addition, </w:t>
      </w:r>
      <w:r w:rsidRPr="00821BDC">
        <w:rPr>
          <w:rFonts w:cs="Arial"/>
        </w:rPr>
        <w:t>Impr</w:t>
      </w:r>
      <w:r>
        <w:rPr>
          <w:rFonts w:cs="Arial"/>
        </w:rPr>
        <w:t xml:space="preserve">oving and </w:t>
      </w:r>
      <w:r w:rsidRPr="00821BDC">
        <w:rPr>
          <w:rFonts w:cs="Arial"/>
        </w:rPr>
        <w:t xml:space="preserve">Sustaining Cancer </w:t>
      </w:r>
      <w:r w:rsidR="00F3039B" w:rsidRPr="00821BDC">
        <w:rPr>
          <w:rFonts w:cs="Arial"/>
        </w:rPr>
        <w:t>Performance -</w:t>
      </w:r>
      <w:r w:rsidRPr="00821BDC">
        <w:rPr>
          <w:rFonts w:cs="Arial"/>
        </w:rPr>
        <w:t xml:space="preserve"> (NHS publication gateway reference 03614</w:t>
      </w:r>
      <w:r>
        <w:rPr>
          <w:rFonts w:cs="Arial"/>
        </w:rPr>
        <w:t>, July 2015</w:t>
      </w:r>
      <w:r w:rsidRPr="00821BDC">
        <w:rPr>
          <w:rFonts w:cs="Arial"/>
        </w:rPr>
        <w:t>) identifie</w:t>
      </w:r>
      <w:r w:rsidR="001058D8">
        <w:rPr>
          <w:rFonts w:cs="Arial"/>
        </w:rPr>
        <w:t>s 8 key priorities</w:t>
      </w:r>
      <w:r w:rsidRPr="00821BDC">
        <w:rPr>
          <w:rFonts w:cs="Arial"/>
        </w:rPr>
        <w:t xml:space="preserve"> for local health systems to implement as a matter of urgency</w:t>
      </w:r>
      <w:r w:rsidRPr="000D21F8">
        <w:rPr>
          <w:rFonts w:cs="Arial"/>
        </w:rPr>
        <w:t xml:space="preserve">. </w:t>
      </w:r>
      <w:r w:rsidR="000D21F8" w:rsidRPr="000D21F8">
        <w:rPr>
          <w:rFonts w:cs="Arial"/>
        </w:rPr>
        <w:t xml:space="preserve"> ELHT and all providers have </w:t>
      </w:r>
      <w:r w:rsidR="00761E8F" w:rsidRPr="000D21F8">
        <w:rPr>
          <w:rFonts w:cs="Arial"/>
        </w:rPr>
        <w:t>completed a</w:t>
      </w:r>
      <w:r w:rsidRPr="000D21F8">
        <w:rPr>
          <w:rFonts w:cs="Arial"/>
        </w:rPr>
        <w:t xml:space="preserve"> </w:t>
      </w:r>
      <w:r w:rsidR="00F3039B" w:rsidRPr="000D21F8">
        <w:rPr>
          <w:rFonts w:cs="Arial"/>
        </w:rPr>
        <w:t>self-assessment</w:t>
      </w:r>
      <w:r w:rsidRPr="000D21F8">
        <w:rPr>
          <w:rFonts w:cs="Arial"/>
        </w:rPr>
        <w:t xml:space="preserve"> of compliance </w:t>
      </w:r>
      <w:r w:rsidR="00F3039B" w:rsidRPr="000D21F8">
        <w:rPr>
          <w:rFonts w:cs="Arial"/>
        </w:rPr>
        <w:t>against these</w:t>
      </w:r>
      <w:r w:rsidRPr="000D21F8">
        <w:rPr>
          <w:rFonts w:cs="Arial"/>
        </w:rPr>
        <w:t>,</w:t>
      </w:r>
      <w:r w:rsidR="000D21F8" w:rsidRPr="000D21F8">
        <w:rPr>
          <w:rFonts w:cs="Arial"/>
        </w:rPr>
        <w:t xml:space="preserve"> and have now been signed off as compliant</w:t>
      </w:r>
      <w:r w:rsidR="004C0898">
        <w:rPr>
          <w:rFonts w:cs="Arial"/>
        </w:rPr>
        <w:t>.</w:t>
      </w:r>
    </w:p>
    <w:p w:rsidR="00F57BE6" w:rsidRDefault="00F57BE6" w:rsidP="00821BDC">
      <w:pPr>
        <w:ind w:left="720"/>
        <w:rPr>
          <w:rFonts w:cs="Arial"/>
        </w:rPr>
      </w:pPr>
    </w:p>
    <w:p w:rsidR="00B7771C" w:rsidRDefault="00B7771C" w:rsidP="00821BDC">
      <w:pPr>
        <w:ind w:left="720"/>
        <w:rPr>
          <w:rFonts w:cs="Arial"/>
        </w:rPr>
      </w:pPr>
    </w:p>
    <w:p w:rsidR="00C948FA" w:rsidRDefault="00C948FA" w:rsidP="003D5E42">
      <w:pPr>
        <w:pStyle w:val="ListParagraph"/>
        <w:numPr>
          <w:ilvl w:val="0"/>
          <w:numId w:val="2"/>
        </w:numPr>
        <w:rPr>
          <w:rFonts w:ascii="Arial" w:hAnsi="Arial" w:cs="Arial"/>
          <w:b/>
        </w:rPr>
      </w:pPr>
      <w:r w:rsidRPr="00C948FA">
        <w:rPr>
          <w:rFonts w:ascii="Arial" w:hAnsi="Arial" w:cs="Arial"/>
          <w:b/>
        </w:rPr>
        <w:t>Purpose of the report</w:t>
      </w:r>
    </w:p>
    <w:p w:rsidR="00C948FA" w:rsidRDefault="00C948FA" w:rsidP="00F22ACA">
      <w:pPr>
        <w:pStyle w:val="ListParagraph"/>
        <w:rPr>
          <w:rFonts w:ascii="Arial" w:hAnsi="Arial" w:cs="Arial"/>
        </w:rPr>
      </w:pPr>
      <w:r>
        <w:rPr>
          <w:rFonts w:ascii="Arial" w:hAnsi="Arial" w:cs="Arial"/>
        </w:rPr>
        <w:t>The purpose of this report is to outline the curr</w:t>
      </w:r>
      <w:r w:rsidR="00680342">
        <w:rPr>
          <w:rFonts w:ascii="Arial" w:hAnsi="Arial" w:cs="Arial"/>
        </w:rPr>
        <w:t>ent position in relation to CWT standards</w:t>
      </w:r>
      <w:r>
        <w:rPr>
          <w:rFonts w:ascii="Arial" w:hAnsi="Arial" w:cs="Arial"/>
        </w:rPr>
        <w:t xml:space="preserve"> and provide an overview of the plans in place and progress against these plans, to support the delivery of these standards.</w:t>
      </w:r>
    </w:p>
    <w:p w:rsidR="00C948FA" w:rsidRDefault="00C948FA" w:rsidP="00C948FA">
      <w:pPr>
        <w:rPr>
          <w:rFonts w:cs="Arial"/>
        </w:rPr>
      </w:pPr>
    </w:p>
    <w:p w:rsidR="00F57BE6" w:rsidRDefault="00F57BE6" w:rsidP="00C948FA">
      <w:pPr>
        <w:rPr>
          <w:rFonts w:cs="Arial"/>
        </w:rPr>
      </w:pPr>
    </w:p>
    <w:p w:rsidR="00B01952" w:rsidRDefault="00E646DF" w:rsidP="00C948FA">
      <w:pPr>
        <w:rPr>
          <w:rFonts w:cs="Arial"/>
          <w:b/>
        </w:rPr>
      </w:pPr>
      <w:r>
        <w:rPr>
          <w:rFonts w:cs="Arial"/>
          <w:b/>
        </w:rPr>
        <w:t>3.0</w:t>
      </w:r>
      <w:r>
        <w:rPr>
          <w:rFonts w:cs="Arial"/>
          <w:b/>
        </w:rPr>
        <w:tab/>
      </w:r>
      <w:r w:rsidR="00B01952" w:rsidRPr="00C948FA">
        <w:rPr>
          <w:rFonts w:cs="Arial"/>
          <w:b/>
        </w:rPr>
        <w:t>Summary of Cancer performance</w:t>
      </w:r>
    </w:p>
    <w:p w:rsidR="00484FF3" w:rsidRDefault="00F22ACA" w:rsidP="00F22ACA">
      <w:pPr>
        <w:ind w:left="720" w:hanging="720"/>
        <w:rPr>
          <w:rFonts w:cs="Arial"/>
        </w:rPr>
      </w:pPr>
      <w:r>
        <w:rPr>
          <w:rFonts w:cs="Arial"/>
          <w:b/>
        </w:rPr>
        <w:t xml:space="preserve">3.1  </w:t>
      </w:r>
      <w:r>
        <w:rPr>
          <w:rFonts w:cs="Arial"/>
          <w:b/>
        </w:rPr>
        <w:tab/>
      </w:r>
      <w:r w:rsidR="00C948FA">
        <w:rPr>
          <w:rFonts w:cs="Arial"/>
        </w:rPr>
        <w:t xml:space="preserve">The tables below </w:t>
      </w:r>
      <w:r w:rsidR="00484FF3">
        <w:rPr>
          <w:rFonts w:cs="Arial"/>
        </w:rPr>
        <w:t>provide an overview of the position of East Lancashire CCG</w:t>
      </w:r>
      <w:r w:rsidR="000D21F8">
        <w:rPr>
          <w:rFonts w:cs="Arial"/>
        </w:rPr>
        <w:t xml:space="preserve">, </w:t>
      </w:r>
      <w:r w:rsidR="00EE50F5" w:rsidRPr="00F36281">
        <w:rPr>
          <w:rFonts w:cs="Arial"/>
        </w:rPr>
        <w:t xml:space="preserve">BwD </w:t>
      </w:r>
      <w:r w:rsidR="00EE50F5">
        <w:rPr>
          <w:rFonts w:cs="Arial"/>
        </w:rPr>
        <w:t>CCG</w:t>
      </w:r>
      <w:r w:rsidR="000D21F8">
        <w:rPr>
          <w:rFonts w:cs="Arial"/>
        </w:rPr>
        <w:t xml:space="preserve"> and ELHT</w:t>
      </w:r>
      <w:r w:rsidR="00E74172">
        <w:rPr>
          <w:rFonts w:cs="Arial"/>
          <w:color w:val="FF0000"/>
        </w:rPr>
        <w:t xml:space="preserve"> </w:t>
      </w:r>
      <w:r w:rsidR="00484FF3">
        <w:rPr>
          <w:rFonts w:cs="Arial"/>
        </w:rPr>
        <w:t>against</w:t>
      </w:r>
      <w:r w:rsidR="004F6863">
        <w:rPr>
          <w:rFonts w:cs="Arial"/>
        </w:rPr>
        <w:t xml:space="preserve"> </w:t>
      </w:r>
      <w:r w:rsidR="00FB7888">
        <w:rPr>
          <w:rFonts w:cs="Arial"/>
        </w:rPr>
        <w:t xml:space="preserve">all </w:t>
      </w:r>
      <w:r w:rsidR="00484FF3">
        <w:rPr>
          <w:rFonts w:cs="Arial"/>
        </w:rPr>
        <w:t>standards and</w:t>
      </w:r>
      <w:r w:rsidR="000D21F8">
        <w:rPr>
          <w:rFonts w:cs="Arial"/>
        </w:rPr>
        <w:t>, in addition,</w:t>
      </w:r>
      <w:r w:rsidR="00484FF3">
        <w:rPr>
          <w:rFonts w:cs="Arial"/>
        </w:rPr>
        <w:t xml:space="preserve"> a high level analysis of numbers of breaches, tumour groups and providers</w:t>
      </w:r>
      <w:r w:rsidR="00FB7888">
        <w:rPr>
          <w:rFonts w:cs="Arial"/>
        </w:rPr>
        <w:t xml:space="preserve"> involved</w:t>
      </w:r>
      <w:r w:rsidR="00484FF3">
        <w:rPr>
          <w:rFonts w:cs="Arial"/>
        </w:rPr>
        <w:t>.</w:t>
      </w:r>
    </w:p>
    <w:p w:rsidR="00C63F26" w:rsidRDefault="00C63F26" w:rsidP="00565BD8">
      <w:pPr>
        <w:rPr>
          <w:rFonts w:cs="Arial"/>
        </w:rPr>
      </w:pPr>
    </w:p>
    <w:p w:rsidR="009A6A17" w:rsidRDefault="009A6A17" w:rsidP="00565BD8">
      <w:pPr>
        <w:rPr>
          <w:rFonts w:cs="Arial"/>
        </w:rPr>
      </w:pPr>
    </w:p>
    <w:p w:rsidR="001C2DD0" w:rsidRDefault="00B03326" w:rsidP="00C948FA">
      <w:pPr>
        <w:jc w:val="center"/>
        <w:rPr>
          <w:b/>
        </w:rPr>
      </w:pPr>
      <w:r w:rsidRPr="00564D1B">
        <w:rPr>
          <w:b/>
        </w:rPr>
        <w:t>Table</w:t>
      </w:r>
      <w:r w:rsidR="005F3502">
        <w:rPr>
          <w:b/>
        </w:rPr>
        <w:t>s</w:t>
      </w:r>
      <w:r w:rsidRPr="00564D1B">
        <w:rPr>
          <w:b/>
        </w:rPr>
        <w:t xml:space="preserve"> 1</w:t>
      </w:r>
    </w:p>
    <w:p w:rsidR="007816F0" w:rsidRDefault="00D27DB9" w:rsidP="002D67D6">
      <w:pPr>
        <w:jc w:val="center"/>
        <w:rPr>
          <w:b/>
        </w:rPr>
      </w:pPr>
      <w:r>
        <w:rPr>
          <w:b/>
        </w:rPr>
        <w:t xml:space="preserve">March </w:t>
      </w:r>
      <w:r w:rsidR="00F22ACA">
        <w:rPr>
          <w:b/>
        </w:rPr>
        <w:t>201</w:t>
      </w:r>
      <w:r w:rsidR="002B4669">
        <w:rPr>
          <w:b/>
        </w:rPr>
        <w:t>6</w:t>
      </w:r>
      <w:r w:rsidR="00F22ACA">
        <w:rPr>
          <w:b/>
        </w:rPr>
        <w:t xml:space="preserve"> </w:t>
      </w:r>
      <w:r w:rsidR="00EC6D1C">
        <w:rPr>
          <w:b/>
        </w:rPr>
        <w:t xml:space="preserve">in month, quarter </w:t>
      </w:r>
      <w:r>
        <w:rPr>
          <w:b/>
        </w:rPr>
        <w:t>4</w:t>
      </w:r>
      <w:r w:rsidR="00F57BE6">
        <w:rPr>
          <w:b/>
        </w:rPr>
        <w:t xml:space="preserve"> 15/16</w:t>
      </w:r>
      <w:r w:rsidR="00EC6D1C">
        <w:rPr>
          <w:b/>
        </w:rPr>
        <w:t xml:space="preserve"> </w:t>
      </w:r>
      <w:r w:rsidR="00565BD8">
        <w:rPr>
          <w:b/>
        </w:rPr>
        <w:t>and</w:t>
      </w:r>
      <w:r w:rsidR="00EC6D1C">
        <w:rPr>
          <w:b/>
        </w:rPr>
        <w:t xml:space="preserve"> </w:t>
      </w:r>
      <w:r>
        <w:rPr>
          <w:b/>
        </w:rPr>
        <w:t>year end</w:t>
      </w:r>
      <w:r w:rsidR="00484FF3" w:rsidRPr="00564D1B">
        <w:rPr>
          <w:b/>
        </w:rPr>
        <w:t xml:space="preserve"> performance data</w:t>
      </w:r>
      <w:r w:rsidR="00565BD8">
        <w:rPr>
          <w:b/>
        </w:rPr>
        <w:t xml:space="preserve"> </w:t>
      </w:r>
    </w:p>
    <w:p w:rsidR="00565BD8" w:rsidRPr="00564D1B" w:rsidRDefault="00565BD8" w:rsidP="002D67D6">
      <w:pPr>
        <w:jc w:val="center"/>
        <w:rPr>
          <w:b/>
        </w:rPr>
      </w:pPr>
    </w:p>
    <w:p w:rsidR="00484FF3" w:rsidRPr="00F36281" w:rsidRDefault="00F36281" w:rsidP="00F36281">
      <w:pPr>
        <w:jc w:val="center"/>
        <w:rPr>
          <w:b/>
        </w:rPr>
      </w:pPr>
      <w:r>
        <w:rPr>
          <w:b/>
        </w:rPr>
        <w:t>East Lancashire</w:t>
      </w:r>
      <w:r w:rsidR="00BC41C8" w:rsidRPr="00F36281">
        <w:rPr>
          <w:b/>
        </w:rPr>
        <w:t xml:space="preserve"> CCG</w:t>
      </w:r>
      <w:r w:rsidR="00EC6D1C">
        <w:rPr>
          <w:b/>
        </w:rPr>
        <w:t xml:space="preserve">  </w:t>
      </w:r>
    </w:p>
    <w:p w:rsidR="00BC41C8" w:rsidRPr="00484FF3" w:rsidRDefault="00BC41C8" w:rsidP="002D67D6">
      <w:pPr>
        <w:jc w:val="center"/>
      </w:pPr>
    </w:p>
    <w:tbl>
      <w:tblPr>
        <w:tblW w:w="100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093"/>
        <w:gridCol w:w="1417"/>
        <w:gridCol w:w="1276"/>
        <w:gridCol w:w="1418"/>
        <w:gridCol w:w="1417"/>
        <w:gridCol w:w="1134"/>
        <w:gridCol w:w="1276"/>
      </w:tblGrid>
      <w:tr w:rsidR="00CA4AFD" w:rsidRPr="00484FF3" w:rsidTr="00E0457B">
        <w:trPr>
          <w:trHeight w:val="771"/>
        </w:trPr>
        <w:tc>
          <w:tcPr>
            <w:tcW w:w="2093" w:type="dxa"/>
            <w:shd w:val="clear" w:color="auto" w:fill="D9D9D9" w:themeFill="background1" w:themeFillShade="D9"/>
            <w:tcMar>
              <w:top w:w="0" w:type="dxa"/>
              <w:left w:w="108" w:type="dxa"/>
              <w:bottom w:w="0" w:type="dxa"/>
              <w:right w:w="108" w:type="dxa"/>
            </w:tcMar>
            <w:hideMark/>
          </w:tcPr>
          <w:p w:rsidR="00CA4AFD" w:rsidRPr="00A92BB4" w:rsidRDefault="00CA4AFD" w:rsidP="003F3AA4">
            <w:pPr>
              <w:rPr>
                <w:rFonts w:eastAsia="Calibri" w:cs="Arial"/>
                <w:sz w:val="18"/>
                <w:szCs w:val="18"/>
              </w:rPr>
            </w:pPr>
            <w:r w:rsidRPr="00A92BB4">
              <w:rPr>
                <w:rFonts w:eastAsia="Calibri" w:cs="Arial"/>
                <w:sz w:val="18"/>
                <w:szCs w:val="18"/>
              </w:rPr>
              <w:t>Standard (target)</w:t>
            </w:r>
          </w:p>
        </w:tc>
        <w:tc>
          <w:tcPr>
            <w:tcW w:w="1417" w:type="dxa"/>
            <w:shd w:val="clear" w:color="auto" w:fill="B6DDE8" w:themeFill="accent5" w:themeFillTint="66"/>
          </w:tcPr>
          <w:p w:rsidR="00CA4AFD" w:rsidRPr="00A92BB4" w:rsidRDefault="00A07477" w:rsidP="00FF3A27">
            <w:pPr>
              <w:jc w:val="center"/>
              <w:rPr>
                <w:rFonts w:eastAsia="Calibri" w:cs="Arial"/>
                <w:sz w:val="18"/>
                <w:szCs w:val="18"/>
              </w:rPr>
            </w:pPr>
            <w:r>
              <w:rPr>
                <w:rFonts w:eastAsia="Calibri" w:cs="Arial"/>
                <w:sz w:val="18"/>
                <w:szCs w:val="18"/>
              </w:rPr>
              <w:t xml:space="preserve">March </w:t>
            </w:r>
            <w:r w:rsidR="00CA4AFD" w:rsidRPr="00A92BB4">
              <w:rPr>
                <w:rFonts w:eastAsia="Calibri" w:cs="Arial"/>
                <w:sz w:val="18"/>
                <w:szCs w:val="18"/>
              </w:rPr>
              <w:t>performance</w:t>
            </w:r>
          </w:p>
        </w:tc>
        <w:tc>
          <w:tcPr>
            <w:tcW w:w="1276" w:type="dxa"/>
            <w:shd w:val="clear" w:color="auto" w:fill="B6DDE8" w:themeFill="accent5" w:themeFillTint="66"/>
          </w:tcPr>
          <w:p w:rsidR="00A07477" w:rsidRDefault="00A07477" w:rsidP="00440975">
            <w:pPr>
              <w:jc w:val="center"/>
              <w:rPr>
                <w:rFonts w:eastAsia="Calibri" w:cs="Arial"/>
                <w:sz w:val="18"/>
                <w:szCs w:val="18"/>
              </w:rPr>
            </w:pPr>
            <w:r>
              <w:rPr>
                <w:rFonts w:eastAsia="Calibri" w:cs="Arial"/>
                <w:sz w:val="18"/>
                <w:szCs w:val="18"/>
              </w:rPr>
              <w:t>March</w:t>
            </w:r>
          </w:p>
          <w:p w:rsidR="00CA4AFD" w:rsidRPr="00A92BB4" w:rsidRDefault="00FF3A27" w:rsidP="00440975">
            <w:pPr>
              <w:jc w:val="center"/>
              <w:rPr>
                <w:rFonts w:eastAsia="Calibri" w:cs="Arial"/>
                <w:sz w:val="18"/>
                <w:szCs w:val="18"/>
              </w:rPr>
            </w:pPr>
            <w:r>
              <w:rPr>
                <w:rFonts w:eastAsia="Calibri" w:cs="Arial"/>
                <w:sz w:val="18"/>
                <w:szCs w:val="18"/>
              </w:rPr>
              <w:t xml:space="preserve"> </w:t>
            </w:r>
            <w:r w:rsidR="00CA4AFD" w:rsidRPr="00A92BB4">
              <w:rPr>
                <w:rFonts w:eastAsia="Calibri" w:cs="Arial"/>
                <w:sz w:val="18"/>
                <w:szCs w:val="18"/>
              </w:rPr>
              <w:t>activity / breaches</w:t>
            </w:r>
          </w:p>
        </w:tc>
        <w:tc>
          <w:tcPr>
            <w:tcW w:w="1418" w:type="dxa"/>
            <w:shd w:val="clear" w:color="auto" w:fill="B6DDE8" w:themeFill="accent5" w:themeFillTint="66"/>
          </w:tcPr>
          <w:p w:rsidR="00CA4AFD" w:rsidRPr="00A92BB4" w:rsidRDefault="00A07477" w:rsidP="00440975">
            <w:pPr>
              <w:jc w:val="center"/>
              <w:rPr>
                <w:rFonts w:eastAsia="Calibri" w:cs="Arial"/>
                <w:sz w:val="18"/>
                <w:szCs w:val="18"/>
              </w:rPr>
            </w:pPr>
            <w:r>
              <w:rPr>
                <w:rFonts w:eastAsia="Calibri" w:cs="Arial"/>
                <w:sz w:val="18"/>
                <w:szCs w:val="18"/>
              </w:rPr>
              <w:t>Quarter 4</w:t>
            </w:r>
            <w:r w:rsidR="00CA4AFD" w:rsidRPr="00A92BB4">
              <w:rPr>
                <w:rFonts w:eastAsia="Calibri" w:cs="Arial"/>
                <w:sz w:val="18"/>
                <w:szCs w:val="18"/>
              </w:rPr>
              <w:t xml:space="preserve"> Performance</w:t>
            </w:r>
          </w:p>
        </w:tc>
        <w:tc>
          <w:tcPr>
            <w:tcW w:w="1417" w:type="dxa"/>
            <w:shd w:val="clear" w:color="auto" w:fill="B6DDE8" w:themeFill="accent5" w:themeFillTint="66"/>
          </w:tcPr>
          <w:p w:rsidR="00A07477" w:rsidRDefault="00A07477" w:rsidP="00A07477">
            <w:pPr>
              <w:jc w:val="center"/>
              <w:rPr>
                <w:rFonts w:eastAsia="Calibri" w:cs="Arial"/>
                <w:sz w:val="18"/>
                <w:szCs w:val="18"/>
              </w:rPr>
            </w:pPr>
            <w:r>
              <w:rPr>
                <w:rFonts w:eastAsia="Calibri" w:cs="Arial"/>
                <w:sz w:val="18"/>
                <w:szCs w:val="18"/>
              </w:rPr>
              <w:t>Quarter 4</w:t>
            </w:r>
          </w:p>
          <w:p w:rsidR="00CA4AFD" w:rsidRPr="00A92BB4" w:rsidRDefault="00CA4AFD" w:rsidP="00A07477">
            <w:pPr>
              <w:jc w:val="center"/>
              <w:rPr>
                <w:rFonts w:eastAsia="Calibri" w:cs="Arial"/>
                <w:sz w:val="18"/>
                <w:szCs w:val="18"/>
              </w:rPr>
            </w:pPr>
            <w:r w:rsidRPr="00A92BB4">
              <w:rPr>
                <w:rFonts w:eastAsia="Calibri" w:cs="Arial"/>
                <w:sz w:val="18"/>
                <w:szCs w:val="18"/>
              </w:rPr>
              <w:t>Activity / breaches</w:t>
            </w:r>
          </w:p>
        </w:tc>
        <w:tc>
          <w:tcPr>
            <w:tcW w:w="1134" w:type="dxa"/>
            <w:shd w:val="clear" w:color="auto" w:fill="B6DDE8" w:themeFill="accent5" w:themeFillTint="66"/>
          </w:tcPr>
          <w:p w:rsidR="00CA4AFD" w:rsidRDefault="00A07477" w:rsidP="00A07477">
            <w:pPr>
              <w:jc w:val="center"/>
              <w:rPr>
                <w:rFonts w:eastAsia="Calibri" w:cs="Arial"/>
                <w:sz w:val="18"/>
                <w:szCs w:val="18"/>
              </w:rPr>
            </w:pPr>
            <w:r>
              <w:rPr>
                <w:rFonts w:eastAsia="Calibri" w:cs="Arial"/>
                <w:sz w:val="18"/>
                <w:szCs w:val="18"/>
              </w:rPr>
              <w:t>Full year</w:t>
            </w:r>
            <w:r w:rsidR="00CA4AFD">
              <w:rPr>
                <w:rFonts w:eastAsia="Calibri" w:cs="Arial"/>
                <w:sz w:val="18"/>
                <w:szCs w:val="18"/>
              </w:rPr>
              <w:t xml:space="preserve"> performance</w:t>
            </w:r>
          </w:p>
        </w:tc>
        <w:tc>
          <w:tcPr>
            <w:tcW w:w="1276" w:type="dxa"/>
            <w:shd w:val="clear" w:color="auto" w:fill="B6DDE8" w:themeFill="accent5" w:themeFillTint="66"/>
          </w:tcPr>
          <w:p w:rsidR="00CA4AFD" w:rsidRDefault="00A07477" w:rsidP="00D975B7">
            <w:pPr>
              <w:jc w:val="center"/>
              <w:rPr>
                <w:rFonts w:eastAsia="Calibri" w:cs="Arial"/>
                <w:sz w:val="18"/>
                <w:szCs w:val="18"/>
              </w:rPr>
            </w:pPr>
            <w:r>
              <w:rPr>
                <w:rFonts w:eastAsia="Calibri" w:cs="Arial"/>
                <w:sz w:val="18"/>
                <w:szCs w:val="18"/>
              </w:rPr>
              <w:t>Full Year</w:t>
            </w:r>
            <w:r w:rsidR="00CA4AFD">
              <w:rPr>
                <w:rFonts w:eastAsia="Calibri" w:cs="Arial"/>
                <w:sz w:val="18"/>
                <w:szCs w:val="18"/>
              </w:rPr>
              <w:t xml:space="preserve"> Activity / </w:t>
            </w:r>
            <w:r w:rsidR="00005216">
              <w:rPr>
                <w:rFonts w:eastAsia="Calibri" w:cs="Arial"/>
                <w:sz w:val="18"/>
                <w:szCs w:val="18"/>
              </w:rPr>
              <w:t>breaches</w:t>
            </w:r>
          </w:p>
        </w:tc>
      </w:tr>
      <w:tr w:rsidR="00EF0DFA" w:rsidRPr="00EF0DFA" w:rsidTr="00E0457B">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14 day (93%)</w:t>
            </w:r>
          </w:p>
        </w:tc>
        <w:tc>
          <w:tcPr>
            <w:tcW w:w="1417" w:type="dxa"/>
            <w:shd w:val="clear" w:color="auto" w:fill="B6DDE8" w:themeFill="accent5" w:themeFillTint="66"/>
          </w:tcPr>
          <w:p w:rsidR="00572A9D" w:rsidRPr="00EF0DFA" w:rsidRDefault="00010B9A" w:rsidP="00572A9D">
            <w:pPr>
              <w:jc w:val="center"/>
              <w:rPr>
                <w:rFonts w:eastAsia="Calibri" w:cs="Arial"/>
                <w:sz w:val="18"/>
                <w:szCs w:val="18"/>
              </w:rPr>
            </w:pPr>
            <w:r>
              <w:rPr>
                <w:rFonts w:eastAsia="Calibri" w:cs="Arial"/>
                <w:sz w:val="18"/>
                <w:szCs w:val="18"/>
              </w:rPr>
              <w:t>96.2</w:t>
            </w:r>
            <w:r w:rsidR="00572A9D" w:rsidRPr="00EF0DFA">
              <w:rPr>
                <w:rFonts w:eastAsia="Calibri" w:cs="Arial"/>
                <w:sz w:val="18"/>
                <w:szCs w:val="18"/>
              </w:rPr>
              <w:t>%</w:t>
            </w:r>
          </w:p>
        </w:tc>
        <w:tc>
          <w:tcPr>
            <w:tcW w:w="1276" w:type="dxa"/>
            <w:shd w:val="clear" w:color="auto" w:fill="B6DDE8" w:themeFill="accent5" w:themeFillTint="66"/>
          </w:tcPr>
          <w:p w:rsidR="00572A9D" w:rsidRPr="00EF0DFA" w:rsidRDefault="00FF64B9" w:rsidP="00FF64B9">
            <w:pPr>
              <w:jc w:val="center"/>
              <w:rPr>
                <w:rFonts w:eastAsia="Calibri" w:cs="Arial"/>
                <w:sz w:val="18"/>
                <w:szCs w:val="18"/>
              </w:rPr>
            </w:pPr>
            <w:r w:rsidRPr="00EF0DFA">
              <w:rPr>
                <w:rFonts w:eastAsia="Calibri" w:cs="Arial"/>
                <w:sz w:val="18"/>
                <w:szCs w:val="18"/>
              </w:rPr>
              <w:t>1,010</w:t>
            </w:r>
            <w:r w:rsidR="00572A9D" w:rsidRPr="00EF0DFA">
              <w:rPr>
                <w:rFonts w:eastAsia="Calibri" w:cs="Arial"/>
                <w:sz w:val="18"/>
                <w:szCs w:val="18"/>
              </w:rPr>
              <w:t xml:space="preserve"> / </w:t>
            </w:r>
            <w:r w:rsidR="0000350B" w:rsidRPr="00EF0DFA">
              <w:rPr>
                <w:rFonts w:eastAsia="Calibri" w:cs="Arial"/>
                <w:sz w:val="18"/>
                <w:szCs w:val="18"/>
              </w:rPr>
              <w:t>38</w:t>
            </w:r>
          </w:p>
        </w:tc>
        <w:tc>
          <w:tcPr>
            <w:tcW w:w="1418" w:type="dxa"/>
            <w:shd w:val="clear" w:color="auto" w:fill="B6DDE8" w:themeFill="accent5" w:themeFillTint="66"/>
          </w:tcPr>
          <w:p w:rsidR="00572A9D" w:rsidRPr="00EF0DFA" w:rsidRDefault="0000350B" w:rsidP="00440975">
            <w:pPr>
              <w:jc w:val="center"/>
              <w:rPr>
                <w:rFonts w:eastAsia="Calibri" w:cs="Arial"/>
                <w:sz w:val="18"/>
                <w:szCs w:val="18"/>
              </w:rPr>
            </w:pPr>
            <w:r w:rsidRPr="00EF0DFA">
              <w:rPr>
                <w:rFonts w:eastAsia="Calibri" w:cs="Arial"/>
                <w:sz w:val="18"/>
                <w:szCs w:val="18"/>
              </w:rPr>
              <w:t>96.8</w:t>
            </w:r>
            <w:r w:rsidR="00572A9D" w:rsidRPr="00EF0DFA">
              <w:rPr>
                <w:rFonts w:eastAsia="Calibri" w:cs="Arial"/>
                <w:sz w:val="18"/>
                <w:szCs w:val="18"/>
              </w:rPr>
              <w:t>%</w:t>
            </w:r>
          </w:p>
        </w:tc>
        <w:tc>
          <w:tcPr>
            <w:tcW w:w="1417" w:type="dxa"/>
            <w:shd w:val="clear" w:color="auto" w:fill="B6DDE8" w:themeFill="accent5" w:themeFillTint="66"/>
          </w:tcPr>
          <w:p w:rsidR="00572A9D" w:rsidRPr="00EF0DFA" w:rsidRDefault="0000350B" w:rsidP="00440975">
            <w:pPr>
              <w:jc w:val="center"/>
              <w:rPr>
                <w:rFonts w:eastAsia="Calibri" w:cs="Arial"/>
                <w:sz w:val="18"/>
                <w:szCs w:val="18"/>
              </w:rPr>
            </w:pPr>
            <w:r w:rsidRPr="00EF0DFA">
              <w:rPr>
                <w:rFonts w:eastAsia="Calibri" w:cs="Arial"/>
                <w:sz w:val="18"/>
                <w:szCs w:val="18"/>
              </w:rPr>
              <w:t>2869 / 91</w:t>
            </w:r>
          </w:p>
        </w:tc>
        <w:tc>
          <w:tcPr>
            <w:tcW w:w="1134" w:type="dxa"/>
            <w:shd w:val="clear" w:color="auto" w:fill="B6DDE8" w:themeFill="accent5" w:themeFillTint="66"/>
          </w:tcPr>
          <w:p w:rsidR="00572A9D" w:rsidRPr="00EF0DFA" w:rsidRDefault="00010B9A" w:rsidP="00E52887">
            <w:pPr>
              <w:jc w:val="center"/>
              <w:rPr>
                <w:rFonts w:eastAsia="Calibri" w:cs="Arial"/>
                <w:sz w:val="18"/>
                <w:szCs w:val="18"/>
              </w:rPr>
            </w:pPr>
            <w:r>
              <w:rPr>
                <w:rFonts w:eastAsia="Calibri" w:cs="Arial"/>
                <w:sz w:val="18"/>
                <w:szCs w:val="18"/>
              </w:rPr>
              <w:t>9</w:t>
            </w:r>
            <w:r w:rsidR="00E52887">
              <w:rPr>
                <w:rFonts w:eastAsia="Calibri" w:cs="Arial"/>
                <w:sz w:val="18"/>
                <w:szCs w:val="18"/>
              </w:rPr>
              <w:t>6.6</w:t>
            </w:r>
            <w:r w:rsidR="00572A9D" w:rsidRPr="00EF0DFA">
              <w:rPr>
                <w:rFonts w:eastAsia="Calibri" w:cs="Arial"/>
                <w:sz w:val="18"/>
                <w:szCs w:val="18"/>
              </w:rPr>
              <w:t>%</w:t>
            </w:r>
          </w:p>
        </w:tc>
        <w:tc>
          <w:tcPr>
            <w:tcW w:w="1276" w:type="dxa"/>
            <w:shd w:val="clear" w:color="auto" w:fill="B6DDE8" w:themeFill="accent5" w:themeFillTint="66"/>
          </w:tcPr>
          <w:p w:rsidR="00572A9D" w:rsidRPr="00EF0DFA" w:rsidRDefault="0000350B" w:rsidP="0000350B">
            <w:pPr>
              <w:jc w:val="center"/>
              <w:rPr>
                <w:rFonts w:eastAsia="Calibri" w:cs="Arial"/>
                <w:sz w:val="18"/>
                <w:szCs w:val="18"/>
              </w:rPr>
            </w:pPr>
            <w:r w:rsidRPr="00EF0DFA">
              <w:rPr>
                <w:rFonts w:eastAsia="Calibri" w:cs="Arial"/>
                <w:sz w:val="18"/>
                <w:szCs w:val="18"/>
              </w:rPr>
              <w:t>11,532</w:t>
            </w:r>
            <w:r w:rsidR="00572A9D" w:rsidRPr="00EF0DFA">
              <w:rPr>
                <w:rFonts w:eastAsia="Calibri" w:cs="Arial"/>
                <w:sz w:val="18"/>
                <w:szCs w:val="18"/>
              </w:rPr>
              <w:t xml:space="preserve"> / 3</w:t>
            </w:r>
            <w:r w:rsidRPr="00EF0DFA">
              <w:rPr>
                <w:rFonts w:eastAsia="Calibri" w:cs="Arial"/>
                <w:sz w:val="18"/>
                <w:szCs w:val="18"/>
              </w:rPr>
              <w:t>88</w:t>
            </w:r>
          </w:p>
        </w:tc>
      </w:tr>
      <w:tr w:rsidR="00572A9D" w:rsidRPr="00484FF3" w:rsidTr="00E0457B">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14 day breast (93%)</w:t>
            </w:r>
          </w:p>
        </w:tc>
        <w:tc>
          <w:tcPr>
            <w:tcW w:w="1417" w:type="dxa"/>
            <w:shd w:val="clear" w:color="auto" w:fill="B6DDE8" w:themeFill="accent5" w:themeFillTint="66"/>
          </w:tcPr>
          <w:p w:rsidR="00572A9D" w:rsidRPr="00EF0DFA" w:rsidRDefault="00EF0DFA" w:rsidP="00572A9D">
            <w:pPr>
              <w:jc w:val="center"/>
              <w:rPr>
                <w:rFonts w:eastAsia="Calibri" w:cs="Arial"/>
                <w:sz w:val="18"/>
                <w:szCs w:val="18"/>
              </w:rPr>
            </w:pPr>
            <w:r w:rsidRPr="00EF0DFA">
              <w:rPr>
                <w:rFonts w:eastAsia="Calibri" w:cs="Arial"/>
                <w:sz w:val="18"/>
                <w:szCs w:val="18"/>
              </w:rPr>
              <w:t>93.0</w:t>
            </w:r>
            <w:r w:rsidR="00572A9D" w:rsidRPr="00EF0DFA">
              <w:rPr>
                <w:rFonts w:eastAsia="Calibri" w:cs="Arial"/>
                <w:sz w:val="18"/>
                <w:szCs w:val="18"/>
              </w:rPr>
              <w:t>%</w:t>
            </w:r>
          </w:p>
        </w:tc>
        <w:tc>
          <w:tcPr>
            <w:tcW w:w="1276" w:type="dxa"/>
            <w:shd w:val="clear" w:color="auto" w:fill="B6DDE8" w:themeFill="accent5" w:themeFillTint="66"/>
          </w:tcPr>
          <w:p w:rsidR="00572A9D" w:rsidRPr="00EF0DFA" w:rsidRDefault="00EF0DFA" w:rsidP="00A03195">
            <w:pPr>
              <w:jc w:val="center"/>
              <w:rPr>
                <w:rFonts w:eastAsia="Calibri" w:cs="Arial"/>
                <w:sz w:val="18"/>
                <w:szCs w:val="18"/>
              </w:rPr>
            </w:pPr>
            <w:r w:rsidRPr="00EF0DFA">
              <w:rPr>
                <w:rFonts w:eastAsia="Calibri" w:cs="Arial"/>
                <w:sz w:val="18"/>
                <w:szCs w:val="18"/>
              </w:rPr>
              <w:t>158</w:t>
            </w:r>
            <w:r w:rsidR="00572A9D" w:rsidRPr="00EF0DFA">
              <w:rPr>
                <w:rFonts w:eastAsia="Calibri" w:cs="Arial"/>
                <w:sz w:val="18"/>
                <w:szCs w:val="18"/>
              </w:rPr>
              <w:t xml:space="preserve"> / </w:t>
            </w:r>
            <w:r w:rsidRPr="00EF0DFA">
              <w:rPr>
                <w:rFonts w:eastAsia="Calibri" w:cs="Arial"/>
                <w:sz w:val="18"/>
                <w:szCs w:val="18"/>
              </w:rPr>
              <w:t>11</w:t>
            </w:r>
          </w:p>
        </w:tc>
        <w:tc>
          <w:tcPr>
            <w:tcW w:w="1418" w:type="dxa"/>
            <w:shd w:val="clear" w:color="auto" w:fill="B6DDE8" w:themeFill="accent5" w:themeFillTint="66"/>
          </w:tcPr>
          <w:p w:rsidR="00572A9D" w:rsidRPr="00EF0DFA" w:rsidRDefault="00572A9D" w:rsidP="00EF0DFA">
            <w:pPr>
              <w:jc w:val="center"/>
              <w:rPr>
                <w:rFonts w:eastAsia="Calibri" w:cs="Arial"/>
                <w:sz w:val="18"/>
                <w:szCs w:val="18"/>
              </w:rPr>
            </w:pPr>
            <w:r w:rsidRPr="00EF0DFA">
              <w:rPr>
                <w:rFonts w:eastAsia="Calibri" w:cs="Arial"/>
                <w:sz w:val="18"/>
                <w:szCs w:val="18"/>
              </w:rPr>
              <w:t>95.</w:t>
            </w:r>
            <w:r w:rsidR="00EF0DFA" w:rsidRPr="00EF0DFA">
              <w:rPr>
                <w:rFonts w:eastAsia="Calibri" w:cs="Arial"/>
                <w:sz w:val="18"/>
                <w:szCs w:val="18"/>
              </w:rPr>
              <w:t>4</w:t>
            </w:r>
            <w:r w:rsidRPr="00EF0DFA">
              <w:rPr>
                <w:rFonts w:eastAsia="Calibri" w:cs="Arial"/>
                <w:sz w:val="18"/>
                <w:szCs w:val="18"/>
              </w:rPr>
              <w:t>%</w:t>
            </w:r>
          </w:p>
        </w:tc>
        <w:tc>
          <w:tcPr>
            <w:tcW w:w="1417" w:type="dxa"/>
            <w:shd w:val="clear" w:color="auto" w:fill="B6DDE8" w:themeFill="accent5" w:themeFillTint="66"/>
          </w:tcPr>
          <w:p w:rsidR="00572A9D" w:rsidRPr="00EF0DFA" w:rsidRDefault="00EF0DFA" w:rsidP="00EF0DFA">
            <w:pPr>
              <w:jc w:val="center"/>
              <w:rPr>
                <w:rFonts w:eastAsia="Calibri" w:cs="Arial"/>
                <w:sz w:val="18"/>
                <w:szCs w:val="18"/>
              </w:rPr>
            </w:pPr>
            <w:r w:rsidRPr="00EF0DFA">
              <w:rPr>
                <w:rFonts w:eastAsia="Calibri" w:cs="Arial"/>
                <w:sz w:val="18"/>
                <w:szCs w:val="18"/>
              </w:rPr>
              <w:t>420</w:t>
            </w:r>
            <w:r w:rsidR="00572A9D" w:rsidRPr="00EF0DFA">
              <w:rPr>
                <w:rFonts w:eastAsia="Calibri" w:cs="Arial"/>
                <w:sz w:val="18"/>
                <w:szCs w:val="18"/>
              </w:rPr>
              <w:t xml:space="preserve"> / </w:t>
            </w:r>
            <w:r w:rsidRPr="00EF0DFA">
              <w:rPr>
                <w:rFonts w:eastAsia="Calibri" w:cs="Arial"/>
                <w:sz w:val="18"/>
                <w:szCs w:val="18"/>
              </w:rPr>
              <w:t>19</w:t>
            </w:r>
            <w:r w:rsidR="00572A9D" w:rsidRPr="00EF0DFA">
              <w:rPr>
                <w:rFonts w:eastAsia="Calibri" w:cs="Arial"/>
                <w:sz w:val="18"/>
                <w:szCs w:val="18"/>
              </w:rPr>
              <w:t xml:space="preserve"> </w:t>
            </w:r>
          </w:p>
        </w:tc>
        <w:tc>
          <w:tcPr>
            <w:tcW w:w="1134" w:type="dxa"/>
            <w:shd w:val="clear" w:color="auto" w:fill="B6DDE8" w:themeFill="accent5" w:themeFillTint="66"/>
          </w:tcPr>
          <w:p w:rsidR="00572A9D" w:rsidRPr="00EF0DFA" w:rsidRDefault="00EF0DFA" w:rsidP="00A843B0">
            <w:pPr>
              <w:jc w:val="center"/>
              <w:rPr>
                <w:rFonts w:eastAsia="Calibri" w:cs="Arial"/>
                <w:sz w:val="18"/>
                <w:szCs w:val="18"/>
              </w:rPr>
            </w:pPr>
            <w:r w:rsidRPr="00EF0DFA">
              <w:rPr>
                <w:rFonts w:eastAsia="Calibri" w:cs="Arial"/>
                <w:sz w:val="18"/>
                <w:szCs w:val="18"/>
              </w:rPr>
              <w:t>96.4</w:t>
            </w:r>
            <w:r w:rsidR="00572A9D" w:rsidRPr="00EF0DFA">
              <w:rPr>
                <w:rFonts w:eastAsia="Calibri" w:cs="Arial"/>
                <w:sz w:val="18"/>
                <w:szCs w:val="18"/>
              </w:rPr>
              <w:t>%</w:t>
            </w:r>
          </w:p>
        </w:tc>
        <w:tc>
          <w:tcPr>
            <w:tcW w:w="1276" w:type="dxa"/>
            <w:shd w:val="clear" w:color="auto" w:fill="B6DDE8" w:themeFill="accent5" w:themeFillTint="66"/>
          </w:tcPr>
          <w:p w:rsidR="00572A9D" w:rsidRPr="00EF0DFA" w:rsidRDefault="005D172F" w:rsidP="00EF0DFA">
            <w:pPr>
              <w:jc w:val="center"/>
              <w:rPr>
                <w:rFonts w:eastAsia="Calibri" w:cs="Arial"/>
                <w:sz w:val="18"/>
                <w:szCs w:val="18"/>
              </w:rPr>
            </w:pPr>
            <w:r w:rsidRPr="00EF0DFA">
              <w:rPr>
                <w:rFonts w:eastAsia="Calibri" w:cs="Arial"/>
                <w:sz w:val="18"/>
                <w:szCs w:val="18"/>
              </w:rPr>
              <w:t>1,</w:t>
            </w:r>
            <w:r w:rsidR="00EF0DFA" w:rsidRPr="00EF0DFA">
              <w:rPr>
                <w:rFonts w:eastAsia="Calibri" w:cs="Arial"/>
                <w:sz w:val="18"/>
                <w:szCs w:val="18"/>
              </w:rPr>
              <w:t>828</w:t>
            </w:r>
            <w:r w:rsidR="00572A9D" w:rsidRPr="00EF0DFA">
              <w:rPr>
                <w:rFonts w:eastAsia="Calibri" w:cs="Arial"/>
                <w:sz w:val="18"/>
                <w:szCs w:val="18"/>
              </w:rPr>
              <w:t xml:space="preserve"> / </w:t>
            </w:r>
            <w:r w:rsidR="00EF0DFA" w:rsidRPr="00EF0DFA">
              <w:rPr>
                <w:rFonts w:eastAsia="Calibri" w:cs="Arial"/>
                <w:sz w:val="18"/>
                <w:szCs w:val="18"/>
              </w:rPr>
              <w:t>8</w:t>
            </w:r>
            <w:r w:rsidRPr="00EF0DFA">
              <w:rPr>
                <w:rFonts w:eastAsia="Calibri" w:cs="Arial"/>
                <w:sz w:val="18"/>
                <w:szCs w:val="18"/>
              </w:rPr>
              <w:t>5</w:t>
            </w:r>
          </w:p>
        </w:tc>
      </w:tr>
      <w:tr w:rsidR="00572A9D" w:rsidRPr="00484FF3" w:rsidTr="00E0457B">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31 day first treatment (96%)</w:t>
            </w:r>
          </w:p>
        </w:tc>
        <w:tc>
          <w:tcPr>
            <w:tcW w:w="1417" w:type="dxa"/>
            <w:shd w:val="clear" w:color="auto" w:fill="B6DDE8" w:themeFill="accent5" w:themeFillTint="66"/>
          </w:tcPr>
          <w:p w:rsidR="00572A9D" w:rsidRPr="00EF0DFA" w:rsidRDefault="00EF0DFA" w:rsidP="00EF0DFA">
            <w:pPr>
              <w:jc w:val="center"/>
            </w:pPr>
            <w:r w:rsidRPr="00EF0DFA">
              <w:rPr>
                <w:rFonts w:eastAsia="Calibri" w:cs="Arial"/>
                <w:sz w:val="18"/>
                <w:szCs w:val="18"/>
              </w:rPr>
              <w:t>98.8</w:t>
            </w:r>
            <w:r w:rsidR="00572A9D" w:rsidRPr="00EF0DFA">
              <w:rPr>
                <w:rFonts w:eastAsia="Calibri" w:cs="Arial"/>
                <w:sz w:val="18"/>
                <w:szCs w:val="18"/>
              </w:rPr>
              <w:t>%</w:t>
            </w:r>
          </w:p>
        </w:tc>
        <w:tc>
          <w:tcPr>
            <w:tcW w:w="1276" w:type="dxa"/>
            <w:shd w:val="clear" w:color="auto" w:fill="B6DDE8" w:themeFill="accent5" w:themeFillTint="66"/>
          </w:tcPr>
          <w:p w:rsidR="00572A9D" w:rsidRPr="00EF0DFA" w:rsidRDefault="00010B9A" w:rsidP="00A03195">
            <w:pPr>
              <w:jc w:val="center"/>
              <w:rPr>
                <w:rFonts w:eastAsia="Calibri" w:cs="Arial"/>
                <w:sz w:val="18"/>
                <w:szCs w:val="18"/>
              </w:rPr>
            </w:pPr>
            <w:r>
              <w:rPr>
                <w:rFonts w:eastAsia="Calibri" w:cs="Arial"/>
                <w:sz w:val="18"/>
                <w:szCs w:val="18"/>
              </w:rPr>
              <w:t>163</w:t>
            </w:r>
            <w:r w:rsidR="00572A9D" w:rsidRPr="00EF0DFA">
              <w:rPr>
                <w:rFonts w:eastAsia="Calibri" w:cs="Arial"/>
                <w:sz w:val="18"/>
                <w:szCs w:val="18"/>
              </w:rPr>
              <w:t xml:space="preserve"> / </w:t>
            </w:r>
            <w:r w:rsidR="00EF0DFA" w:rsidRPr="00EF0DFA">
              <w:rPr>
                <w:rFonts w:eastAsia="Calibri" w:cs="Arial"/>
                <w:sz w:val="18"/>
                <w:szCs w:val="18"/>
              </w:rPr>
              <w:t>2</w:t>
            </w:r>
          </w:p>
        </w:tc>
        <w:tc>
          <w:tcPr>
            <w:tcW w:w="1418" w:type="dxa"/>
            <w:shd w:val="clear" w:color="auto" w:fill="B6DDE8" w:themeFill="accent5" w:themeFillTint="66"/>
          </w:tcPr>
          <w:p w:rsidR="00572A9D" w:rsidRPr="00EF0DFA" w:rsidRDefault="00EF0DFA" w:rsidP="00440975">
            <w:pPr>
              <w:jc w:val="center"/>
              <w:rPr>
                <w:rFonts w:eastAsia="Calibri" w:cs="Arial"/>
                <w:sz w:val="18"/>
                <w:szCs w:val="18"/>
              </w:rPr>
            </w:pPr>
            <w:r w:rsidRPr="00EF0DFA">
              <w:rPr>
                <w:rFonts w:eastAsia="Calibri" w:cs="Arial"/>
                <w:sz w:val="18"/>
                <w:szCs w:val="18"/>
              </w:rPr>
              <w:t>98.9</w:t>
            </w:r>
            <w:r w:rsidR="00572A9D" w:rsidRPr="00EF0DFA">
              <w:rPr>
                <w:rFonts w:eastAsia="Calibri" w:cs="Arial"/>
                <w:sz w:val="18"/>
                <w:szCs w:val="18"/>
              </w:rPr>
              <w:t>%</w:t>
            </w:r>
          </w:p>
        </w:tc>
        <w:tc>
          <w:tcPr>
            <w:tcW w:w="1417" w:type="dxa"/>
            <w:shd w:val="clear" w:color="auto" w:fill="B6DDE8" w:themeFill="accent5" w:themeFillTint="66"/>
          </w:tcPr>
          <w:p w:rsidR="00572A9D" w:rsidRPr="00EF0DFA" w:rsidRDefault="00EF0DFA" w:rsidP="00EF0DFA">
            <w:pPr>
              <w:jc w:val="center"/>
              <w:rPr>
                <w:rFonts w:eastAsia="Calibri" w:cs="Arial"/>
                <w:sz w:val="18"/>
                <w:szCs w:val="18"/>
              </w:rPr>
            </w:pPr>
            <w:r w:rsidRPr="00EF0DFA">
              <w:rPr>
                <w:rFonts w:eastAsia="Calibri" w:cs="Arial"/>
                <w:sz w:val="18"/>
                <w:szCs w:val="18"/>
              </w:rPr>
              <w:t>464</w:t>
            </w:r>
            <w:r w:rsidR="00572A9D" w:rsidRPr="00EF0DFA">
              <w:rPr>
                <w:rFonts w:eastAsia="Calibri" w:cs="Arial"/>
                <w:sz w:val="18"/>
                <w:szCs w:val="18"/>
              </w:rPr>
              <w:t xml:space="preserve"> / </w:t>
            </w:r>
            <w:r w:rsidRPr="00EF0DFA">
              <w:rPr>
                <w:rFonts w:eastAsia="Calibri" w:cs="Arial"/>
                <w:sz w:val="18"/>
                <w:szCs w:val="18"/>
              </w:rPr>
              <w:t>5</w:t>
            </w:r>
          </w:p>
        </w:tc>
        <w:tc>
          <w:tcPr>
            <w:tcW w:w="1134" w:type="dxa"/>
            <w:shd w:val="clear" w:color="auto" w:fill="B6DDE8" w:themeFill="accent5" w:themeFillTint="66"/>
          </w:tcPr>
          <w:p w:rsidR="00572A9D" w:rsidRPr="00EF0DFA" w:rsidRDefault="001858AA" w:rsidP="00A843B0">
            <w:pPr>
              <w:jc w:val="center"/>
            </w:pPr>
            <w:r w:rsidRPr="00EF0DFA">
              <w:rPr>
                <w:rFonts w:eastAsia="Calibri" w:cs="Arial"/>
                <w:sz w:val="18"/>
                <w:szCs w:val="18"/>
              </w:rPr>
              <w:t>98.9</w:t>
            </w:r>
            <w:r w:rsidR="00572A9D" w:rsidRPr="00EF0DFA">
              <w:rPr>
                <w:rFonts w:eastAsia="Calibri" w:cs="Arial"/>
                <w:sz w:val="18"/>
                <w:szCs w:val="18"/>
              </w:rPr>
              <w:t>%</w:t>
            </w:r>
          </w:p>
        </w:tc>
        <w:tc>
          <w:tcPr>
            <w:tcW w:w="1276" w:type="dxa"/>
            <w:shd w:val="clear" w:color="auto" w:fill="B6DDE8" w:themeFill="accent5" w:themeFillTint="66"/>
          </w:tcPr>
          <w:p w:rsidR="00572A9D" w:rsidRPr="00EF0DFA" w:rsidRDefault="005D172F" w:rsidP="00EF0DFA">
            <w:pPr>
              <w:jc w:val="center"/>
              <w:rPr>
                <w:rFonts w:eastAsia="Calibri" w:cs="Arial"/>
                <w:sz w:val="18"/>
                <w:szCs w:val="18"/>
              </w:rPr>
            </w:pPr>
            <w:r w:rsidRPr="00EF0DFA">
              <w:rPr>
                <w:rFonts w:eastAsia="Calibri" w:cs="Arial"/>
                <w:sz w:val="18"/>
                <w:szCs w:val="18"/>
              </w:rPr>
              <w:t>1,</w:t>
            </w:r>
            <w:r w:rsidR="00EF0DFA" w:rsidRPr="00EF0DFA">
              <w:rPr>
                <w:rFonts w:eastAsia="Calibri" w:cs="Arial"/>
                <w:sz w:val="18"/>
                <w:szCs w:val="18"/>
              </w:rPr>
              <w:t>788</w:t>
            </w:r>
            <w:r w:rsidR="00572A9D" w:rsidRPr="00EF0DFA">
              <w:rPr>
                <w:rFonts w:eastAsia="Calibri" w:cs="Arial"/>
                <w:sz w:val="18"/>
                <w:szCs w:val="18"/>
              </w:rPr>
              <w:t xml:space="preserve"> / </w:t>
            </w:r>
            <w:r w:rsidR="00EF0DFA" w:rsidRPr="00EF0DFA">
              <w:rPr>
                <w:rFonts w:eastAsia="Calibri" w:cs="Arial"/>
                <w:sz w:val="18"/>
                <w:szCs w:val="18"/>
              </w:rPr>
              <w:t>19</w:t>
            </w:r>
          </w:p>
        </w:tc>
      </w:tr>
      <w:tr w:rsidR="002C709B" w:rsidRPr="002C709B" w:rsidTr="00E0457B">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31 subsequent surgery (94%)</w:t>
            </w:r>
          </w:p>
        </w:tc>
        <w:tc>
          <w:tcPr>
            <w:tcW w:w="1417" w:type="dxa"/>
            <w:shd w:val="clear" w:color="auto" w:fill="B6DDE8" w:themeFill="accent5" w:themeFillTint="66"/>
          </w:tcPr>
          <w:p w:rsidR="00572A9D" w:rsidRPr="002C709B" w:rsidRDefault="001858AA" w:rsidP="00572A9D">
            <w:pPr>
              <w:jc w:val="center"/>
            </w:pPr>
            <w:r w:rsidRPr="002C709B">
              <w:rPr>
                <w:rFonts w:eastAsia="Calibri" w:cs="Arial"/>
                <w:sz w:val="18"/>
                <w:szCs w:val="18"/>
              </w:rPr>
              <w:t>100.0</w:t>
            </w:r>
            <w:r w:rsidR="00572A9D" w:rsidRPr="002C709B">
              <w:rPr>
                <w:rFonts w:eastAsia="Calibri" w:cs="Arial"/>
                <w:sz w:val="18"/>
                <w:szCs w:val="18"/>
              </w:rPr>
              <w:t>%</w:t>
            </w:r>
          </w:p>
        </w:tc>
        <w:tc>
          <w:tcPr>
            <w:tcW w:w="1276" w:type="dxa"/>
            <w:shd w:val="clear" w:color="auto" w:fill="B6DDE8" w:themeFill="accent5" w:themeFillTint="66"/>
          </w:tcPr>
          <w:p w:rsidR="00572A9D" w:rsidRPr="002C709B" w:rsidRDefault="00EF0DFA" w:rsidP="007B61EA">
            <w:pPr>
              <w:jc w:val="center"/>
              <w:rPr>
                <w:rFonts w:eastAsia="Calibri" w:cs="Arial"/>
                <w:sz w:val="18"/>
                <w:szCs w:val="18"/>
              </w:rPr>
            </w:pPr>
            <w:r w:rsidRPr="002C709B">
              <w:rPr>
                <w:rFonts w:eastAsia="Calibri" w:cs="Arial"/>
                <w:sz w:val="18"/>
                <w:szCs w:val="18"/>
              </w:rPr>
              <w:t>36</w:t>
            </w:r>
            <w:r w:rsidR="00572A9D" w:rsidRPr="002C709B">
              <w:rPr>
                <w:rFonts w:eastAsia="Calibri" w:cs="Arial"/>
                <w:sz w:val="18"/>
                <w:szCs w:val="18"/>
              </w:rPr>
              <w:t xml:space="preserve"> / 0</w:t>
            </w:r>
          </w:p>
        </w:tc>
        <w:tc>
          <w:tcPr>
            <w:tcW w:w="1418" w:type="dxa"/>
            <w:shd w:val="clear" w:color="auto" w:fill="B6DDE8" w:themeFill="accent5" w:themeFillTint="66"/>
          </w:tcPr>
          <w:p w:rsidR="00572A9D" w:rsidRPr="002C709B" w:rsidRDefault="00EF0DFA" w:rsidP="00440975">
            <w:pPr>
              <w:jc w:val="center"/>
              <w:rPr>
                <w:rFonts w:eastAsia="Calibri" w:cs="Arial"/>
                <w:sz w:val="18"/>
                <w:szCs w:val="18"/>
              </w:rPr>
            </w:pPr>
            <w:r w:rsidRPr="002C709B">
              <w:rPr>
                <w:rFonts w:eastAsia="Calibri" w:cs="Arial"/>
                <w:sz w:val="18"/>
                <w:szCs w:val="18"/>
              </w:rPr>
              <w:t>100</w:t>
            </w:r>
            <w:r w:rsidR="00572A9D" w:rsidRPr="002C709B">
              <w:rPr>
                <w:rFonts w:eastAsia="Calibri" w:cs="Arial"/>
                <w:sz w:val="18"/>
                <w:szCs w:val="18"/>
              </w:rPr>
              <w:t>.0%</w:t>
            </w:r>
          </w:p>
        </w:tc>
        <w:tc>
          <w:tcPr>
            <w:tcW w:w="1417" w:type="dxa"/>
            <w:shd w:val="clear" w:color="auto" w:fill="B6DDE8" w:themeFill="accent5" w:themeFillTint="66"/>
          </w:tcPr>
          <w:p w:rsidR="00572A9D" w:rsidRPr="002C709B" w:rsidRDefault="00EF0DFA" w:rsidP="00EF0DFA">
            <w:pPr>
              <w:jc w:val="center"/>
              <w:rPr>
                <w:rFonts w:eastAsia="Calibri" w:cs="Arial"/>
                <w:sz w:val="18"/>
                <w:szCs w:val="18"/>
              </w:rPr>
            </w:pPr>
            <w:r w:rsidRPr="002C709B">
              <w:rPr>
                <w:rFonts w:eastAsia="Calibri" w:cs="Arial"/>
                <w:sz w:val="18"/>
                <w:szCs w:val="18"/>
              </w:rPr>
              <w:t>98</w:t>
            </w:r>
            <w:r w:rsidR="00572A9D" w:rsidRPr="002C709B">
              <w:rPr>
                <w:rFonts w:eastAsia="Calibri" w:cs="Arial"/>
                <w:sz w:val="18"/>
                <w:szCs w:val="18"/>
              </w:rPr>
              <w:t xml:space="preserve"> / </w:t>
            </w:r>
            <w:r w:rsidRPr="002C709B">
              <w:rPr>
                <w:rFonts w:eastAsia="Calibri" w:cs="Arial"/>
                <w:sz w:val="18"/>
                <w:szCs w:val="18"/>
              </w:rPr>
              <w:t>0</w:t>
            </w:r>
          </w:p>
        </w:tc>
        <w:tc>
          <w:tcPr>
            <w:tcW w:w="1134" w:type="dxa"/>
            <w:shd w:val="clear" w:color="auto" w:fill="B6DDE8" w:themeFill="accent5" w:themeFillTint="66"/>
          </w:tcPr>
          <w:p w:rsidR="00572A9D" w:rsidRPr="002C709B" w:rsidRDefault="00EF0DFA" w:rsidP="00A843B0">
            <w:pPr>
              <w:jc w:val="center"/>
            </w:pPr>
            <w:r w:rsidRPr="002C709B">
              <w:rPr>
                <w:rFonts w:eastAsia="Calibri" w:cs="Arial"/>
                <w:sz w:val="18"/>
                <w:szCs w:val="18"/>
              </w:rPr>
              <w:t>98.2</w:t>
            </w:r>
            <w:r w:rsidR="00572A9D" w:rsidRPr="002C709B">
              <w:rPr>
                <w:rFonts w:eastAsia="Calibri" w:cs="Arial"/>
                <w:sz w:val="18"/>
                <w:szCs w:val="18"/>
              </w:rPr>
              <w:t>%</w:t>
            </w:r>
          </w:p>
        </w:tc>
        <w:tc>
          <w:tcPr>
            <w:tcW w:w="1276" w:type="dxa"/>
            <w:shd w:val="clear" w:color="auto" w:fill="B6DDE8" w:themeFill="accent5" w:themeFillTint="66"/>
          </w:tcPr>
          <w:p w:rsidR="00572A9D" w:rsidRPr="002C709B" w:rsidRDefault="00EF0DFA" w:rsidP="00EF0DFA">
            <w:pPr>
              <w:jc w:val="center"/>
              <w:rPr>
                <w:rFonts w:eastAsia="Calibri" w:cs="Arial"/>
                <w:sz w:val="18"/>
                <w:szCs w:val="18"/>
              </w:rPr>
            </w:pPr>
            <w:r w:rsidRPr="002C709B">
              <w:rPr>
                <w:rFonts w:eastAsia="Calibri" w:cs="Arial"/>
                <w:sz w:val="18"/>
                <w:szCs w:val="18"/>
              </w:rPr>
              <w:t>395</w:t>
            </w:r>
            <w:r w:rsidR="005D172F" w:rsidRPr="002C709B">
              <w:rPr>
                <w:rFonts w:eastAsia="Calibri" w:cs="Arial"/>
                <w:sz w:val="18"/>
                <w:szCs w:val="18"/>
              </w:rPr>
              <w:t xml:space="preserve"> </w:t>
            </w:r>
            <w:r w:rsidR="00572A9D" w:rsidRPr="002C709B">
              <w:rPr>
                <w:rFonts w:eastAsia="Calibri" w:cs="Arial"/>
                <w:sz w:val="18"/>
                <w:szCs w:val="18"/>
              </w:rPr>
              <w:t>/ 7</w:t>
            </w:r>
          </w:p>
        </w:tc>
      </w:tr>
      <w:tr w:rsidR="00572A9D" w:rsidRPr="00484FF3" w:rsidTr="00E0457B">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31 subsequent chemotherapy (98%)</w:t>
            </w:r>
          </w:p>
        </w:tc>
        <w:tc>
          <w:tcPr>
            <w:tcW w:w="1417" w:type="dxa"/>
            <w:shd w:val="clear" w:color="auto" w:fill="B6DDE8" w:themeFill="accent5" w:themeFillTint="66"/>
          </w:tcPr>
          <w:p w:rsidR="00572A9D" w:rsidRPr="007E4D23" w:rsidRDefault="001858AA" w:rsidP="00572A9D">
            <w:pPr>
              <w:jc w:val="center"/>
            </w:pPr>
            <w:r w:rsidRPr="007E4D23">
              <w:rPr>
                <w:rFonts w:eastAsia="Calibri" w:cs="Arial"/>
                <w:sz w:val="18"/>
                <w:szCs w:val="18"/>
              </w:rPr>
              <w:t>100.0</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D27DB9" w:rsidP="00A03195">
            <w:pPr>
              <w:tabs>
                <w:tab w:val="left" w:pos="270"/>
                <w:tab w:val="center" w:pos="628"/>
              </w:tabs>
              <w:rPr>
                <w:rFonts w:eastAsia="Calibri" w:cs="Arial"/>
                <w:sz w:val="18"/>
                <w:szCs w:val="18"/>
              </w:rPr>
            </w:pPr>
            <w:r w:rsidRPr="007E4D23">
              <w:rPr>
                <w:rFonts w:eastAsia="Calibri" w:cs="Arial"/>
                <w:sz w:val="18"/>
                <w:szCs w:val="18"/>
              </w:rPr>
              <w:tab/>
            </w:r>
            <w:r w:rsidRPr="007E4D23">
              <w:rPr>
                <w:rFonts w:eastAsia="Calibri" w:cs="Arial"/>
                <w:sz w:val="18"/>
                <w:szCs w:val="18"/>
              </w:rPr>
              <w:tab/>
              <w:t xml:space="preserve"> 78</w:t>
            </w:r>
            <w:r w:rsidR="00572A9D" w:rsidRPr="007E4D23">
              <w:rPr>
                <w:rFonts w:eastAsia="Calibri" w:cs="Arial"/>
                <w:sz w:val="18"/>
                <w:szCs w:val="18"/>
              </w:rPr>
              <w:t xml:space="preserve"> / 0</w:t>
            </w:r>
          </w:p>
        </w:tc>
        <w:tc>
          <w:tcPr>
            <w:tcW w:w="1418" w:type="dxa"/>
            <w:shd w:val="clear" w:color="auto" w:fill="B6DDE8" w:themeFill="accent5" w:themeFillTint="66"/>
          </w:tcPr>
          <w:p w:rsidR="00572A9D" w:rsidRPr="007E4D23" w:rsidRDefault="00572A9D" w:rsidP="00440975">
            <w:pPr>
              <w:jc w:val="center"/>
              <w:rPr>
                <w:rFonts w:eastAsia="Calibri" w:cs="Arial"/>
                <w:sz w:val="18"/>
                <w:szCs w:val="18"/>
              </w:rPr>
            </w:pPr>
            <w:r w:rsidRPr="007E4D23">
              <w:rPr>
                <w:rFonts w:eastAsia="Calibri" w:cs="Arial"/>
                <w:sz w:val="18"/>
                <w:szCs w:val="18"/>
              </w:rPr>
              <w:t>100.0%</w:t>
            </w:r>
          </w:p>
        </w:tc>
        <w:tc>
          <w:tcPr>
            <w:tcW w:w="1417" w:type="dxa"/>
            <w:shd w:val="clear" w:color="auto" w:fill="B6DDE8" w:themeFill="accent5" w:themeFillTint="66"/>
          </w:tcPr>
          <w:p w:rsidR="00572A9D" w:rsidRPr="007E4D23" w:rsidRDefault="00D27DB9" w:rsidP="00440975">
            <w:pPr>
              <w:jc w:val="center"/>
              <w:rPr>
                <w:rFonts w:eastAsia="Calibri" w:cs="Arial"/>
                <w:sz w:val="18"/>
                <w:szCs w:val="18"/>
              </w:rPr>
            </w:pPr>
            <w:r w:rsidRPr="007E4D23">
              <w:rPr>
                <w:rFonts w:eastAsia="Calibri" w:cs="Arial"/>
                <w:sz w:val="18"/>
                <w:szCs w:val="18"/>
              </w:rPr>
              <w:t>202</w:t>
            </w:r>
            <w:r w:rsidR="00572A9D" w:rsidRPr="007E4D23">
              <w:rPr>
                <w:rFonts w:eastAsia="Calibri" w:cs="Arial"/>
                <w:sz w:val="18"/>
                <w:szCs w:val="18"/>
              </w:rPr>
              <w:t xml:space="preserve"> / 0</w:t>
            </w:r>
          </w:p>
        </w:tc>
        <w:tc>
          <w:tcPr>
            <w:tcW w:w="1134" w:type="dxa"/>
            <w:shd w:val="clear" w:color="auto" w:fill="B6DDE8" w:themeFill="accent5" w:themeFillTint="66"/>
          </w:tcPr>
          <w:p w:rsidR="00572A9D" w:rsidRPr="007E4D23" w:rsidRDefault="001858AA" w:rsidP="00A843B0">
            <w:pPr>
              <w:jc w:val="center"/>
            </w:pPr>
            <w:r w:rsidRPr="007E4D23">
              <w:rPr>
                <w:rFonts w:eastAsia="Calibri" w:cs="Arial"/>
                <w:sz w:val="18"/>
                <w:szCs w:val="18"/>
              </w:rPr>
              <w:t>100.0</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D27DB9" w:rsidP="003D17CE">
            <w:pPr>
              <w:jc w:val="center"/>
              <w:rPr>
                <w:rFonts w:eastAsia="Calibri" w:cs="Arial"/>
                <w:sz w:val="18"/>
                <w:szCs w:val="18"/>
              </w:rPr>
            </w:pPr>
            <w:r w:rsidRPr="007E4D23">
              <w:rPr>
                <w:rFonts w:eastAsia="Calibri" w:cs="Arial"/>
                <w:sz w:val="18"/>
                <w:szCs w:val="18"/>
              </w:rPr>
              <w:t>625</w:t>
            </w:r>
            <w:r w:rsidR="00572A9D" w:rsidRPr="007E4D23">
              <w:rPr>
                <w:rFonts w:eastAsia="Calibri" w:cs="Arial"/>
                <w:sz w:val="18"/>
                <w:szCs w:val="18"/>
              </w:rPr>
              <w:t xml:space="preserve"> / 0</w:t>
            </w:r>
          </w:p>
        </w:tc>
      </w:tr>
      <w:tr w:rsidR="00572A9D" w:rsidRPr="00484FF3" w:rsidTr="00E0457B">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31 day subsequent radiotherapy (94%)</w:t>
            </w:r>
          </w:p>
        </w:tc>
        <w:tc>
          <w:tcPr>
            <w:tcW w:w="1417" w:type="dxa"/>
            <w:shd w:val="clear" w:color="auto" w:fill="B6DDE8" w:themeFill="accent5" w:themeFillTint="66"/>
          </w:tcPr>
          <w:p w:rsidR="00572A9D" w:rsidRPr="007E4D23" w:rsidRDefault="001858AA" w:rsidP="00572A9D">
            <w:pPr>
              <w:jc w:val="center"/>
            </w:pPr>
            <w:r w:rsidRPr="007E4D23">
              <w:rPr>
                <w:rFonts w:eastAsia="Calibri" w:cs="Arial"/>
                <w:sz w:val="18"/>
                <w:szCs w:val="18"/>
              </w:rPr>
              <w:t>100.0</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FA14BF">
            <w:pPr>
              <w:jc w:val="center"/>
              <w:rPr>
                <w:rFonts w:eastAsia="Calibri" w:cs="Arial"/>
                <w:sz w:val="18"/>
                <w:szCs w:val="18"/>
              </w:rPr>
            </w:pPr>
            <w:r w:rsidRPr="007E4D23">
              <w:rPr>
                <w:rFonts w:eastAsia="Calibri" w:cs="Arial"/>
                <w:sz w:val="18"/>
                <w:szCs w:val="18"/>
              </w:rPr>
              <w:t>58</w:t>
            </w:r>
            <w:r w:rsidR="00572A9D" w:rsidRPr="007E4D23">
              <w:rPr>
                <w:rFonts w:eastAsia="Calibri" w:cs="Arial"/>
                <w:sz w:val="18"/>
                <w:szCs w:val="18"/>
              </w:rPr>
              <w:t xml:space="preserve"> / 0</w:t>
            </w:r>
          </w:p>
        </w:tc>
        <w:tc>
          <w:tcPr>
            <w:tcW w:w="1418" w:type="dxa"/>
            <w:shd w:val="clear" w:color="auto" w:fill="B6DDE8" w:themeFill="accent5" w:themeFillTint="66"/>
          </w:tcPr>
          <w:p w:rsidR="00572A9D" w:rsidRPr="007E4D23" w:rsidRDefault="007E4D23" w:rsidP="00FA14BF">
            <w:pPr>
              <w:jc w:val="center"/>
              <w:rPr>
                <w:rFonts w:eastAsia="Calibri" w:cs="Arial"/>
                <w:sz w:val="18"/>
                <w:szCs w:val="18"/>
              </w:rPr>
            </w:pPr>
            <w:r w:rsidRPr="007E4D23">
              <w:rPr>
                <w:rFonts w:eastAsia="Calibri" w:cs="Arial"/>
                <w:sz w:val="18"/>
                <w:szCs w:val="18"/>
              </w:rPr>
              <w:t>100</w:t>
            </w:r>
            <w:r w:rsidR="00572A9D" w:rsidRPr="007E4D23">
              <w:rPr>
                <w:rFonts w:eastAsia="Calibri" w:cs="Arial"/>
                <w:sz w:val="18"/>
                <w:szCs w:val="18"/>
              </w:rPr>
              <w:t>.0%</w:t>
            </w:r>
          </w:p>
        </w:tc>
        <w:tc>
          <w:tcPr>
            <w:tcW w:w="1417" w:type="dxa"/>
            <w:shd w:val="clear" w:color="auto" w:fill="B6DDE8" w:themeFill="accent5" w:themeFillTint="66"/>
          </w:tcPr>
          <w:p w:rsidR="00572A9D" w:rsidRPr="007E4D23" w:rsidRDefault="007E4D23" w:rsidP="00FA14BF">
            <w:pPr>
              <w:jc w:val="center"/>
              <w:rPr>
                <w:rFonts w:eastAsia="Calibri" w:cs="Arial"/>
                <w:sz w:val="18"/>
                <w:szCs w:val="18"/>
              </w:rPr>
            </w:pPr>
            <w:r w:rsidRPr="007E4D23">
              <w:rPr>
                <w:rFonts w:eastAsia="Calibri" w:cs="Arial"/>
                <w:sz w:val="18"/>
                <w:szCs w:val="18"/>
              </w:rPr>
              <w:t>156</w:t>
            </w:r>
            <w:r w:rsidR="00010B9A">
              <w:rPr>
                <w:rFonts w:eastAsia="Calibri" w:cs="Arial"/>
                <w:sz w:val="18"/>
                <w:szCs w:val="18"/>
              </w:rPr>
              <w:t xml:space="preserve"> / 0</w:t>
            </w:r>
          </w:p>
        </w:tc>
        <w:tc>
          <w:tcPr>
            <w:tcW w:w="1134" w:type="dxa"/>
            <w:shd w:val="clear" w:color="auto" w:fill="B6DDE8" w:themeFill="accent5" w:themeFillTint="66"/>
          </w:tcPr>
          <w:p w:rsidR="00572A9D" w:rsidRPr="007E4D23" w:rsidRDefault="007E4D23" w:rsidP="00A843B0">
            <w:pPr>
              <w:jc w:val="center"/>
            </w:pPr>
            <w:r w:rsidRPr="007E4D23">
              <w:rPr>
                <w:rFonts w:eastAsia="Calibri" w:cs="Arial"/>
                <w:sz w:val="18"/>
                <w:szCs w:val="18"/>
              </w:rPr>
              <w:t>98.4</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D9159B">
            <w:pPr>
              <w:jc w:val="center"/>
              <w:rPr>
                <w:rFonts w:eastAsia="Calibri" w:cs="Arial"/>
                <w:sz w:val="18"/>
                <w:szCs w:val="18"/>
              </w:rPr>
            </w:pPr>
            <w:r w:rsidRPr="007E4D23">
              <w:rPr>
                <w:rFonts w:eastAsia="Calibri" w:cs="Arial"/>
                <w:sz w:val="18"/>
                <w:szCs w:val="18"/>
              </w:rPr>
              <w:t>615</w:t>
            </w:r>
            <w:r w:rsidR="00572A9D" w:rsidRPr="007E4D23">
              <w:rPr>
                <w:rFonts w:eastAsia="Calibri" w:cs="Arial"/>
                <w:sz w:val="18"/>
                <w:szCs w:val="18"/>
              </w:rPr>
              <w:t xml:space="preserve"> / 10</w:t>
            </w:r>
          </w:p>
        </w:tc>
      </w:tr>
      <w:tr w:rsidR="00572A9D" w:rsidRPr="00484FF3" w:rsidTr="00E0457B">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62 day standard (85%)</w:t>
            </w:r>
          </w:p>
        </w:tc>
        <w:tc>
          <w:tcPr>
            <w:tcW w:w="1417" w:type="dxa"/>
            <w:shd w:val="clear" w:color="auto" w:fill="B6DDE8" w:themeFill="accent5" w:themeFillTint="66"/>
          </w:tcPr>
          <w:p w:rsidR="00572A9D" w:rsidRPr="007E4D23" w:rsidRDefault="007E4D23" w:rsidP="00572A9D">
            <w:pPr>
              <w:jc w:val="center"/>
            </w:pPr>
            <w:r w:rsidRPr="007E4D23">
              <w:rPr>
                <w:rFonts w:eastAsia="Calibri" w:cs="Arial"/>
                <w:sz w:val="18"/>
                <w:szCs w:val="18"/>
              </w:rPr>
              <w:t>94.0</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7E4D23">
            <w:pPr>
              <w:jc w:val="center"/>
              <w:rPr>
                <w:rFonts w:eastAsia="Calibri" w:cs="Arial"/>
                <w:sz w:val="18"/>
                <w:szCs w:val="18"/>
              </w:rPr>
            </w:pPr>
            <w:r w:rsidRPr="007E4D23">
              <w:rPr>
                <w:rFonts w:eastAsia="Calibri" w:cs="Arial"/>
                <w:sz w:val="18"/>
                <w:szCs w:val="18"/>
              </w:rPr>
              <w:t>84</w:t>
            </w:r>
            <w:r w:rsidR="00563953" w:rsidRPr="007E4D23">
              <w:rPr>
                <w:rFonts w:eastAsia="Calibri" w:cs="Arial"/>
                <w:sz w:val="18"/>
                <w:szCs w:val="18"/>
              </w:rPr>
              <w:t xml:space="preserve"> / </w:t>
            </w:r>
            <w:r w:rsidRPr="007E4D23">
              <w:rPr>
                <w:rFonts w:eastAsia="Calibri" w:cs="Arial"/>
                <w:sz w:val="18"/>
                <w:szCs w:val="18"/>
              </w:rPr>
              <w:t>5</w:t>
            </w:r>
          </w:p>
        </w:tc>
        <w:tc>
          <w:tcPr>
            <w:tcW w:w="1418" w:type="dxa"/>
            <w:shd w:val="clear" w:color="auto" w:fill="B6DDE8" w:themeFill="accent5" w:themeFillTint="66"/>
          </w:tcPr>
          <w:p w:rsidR="00572A9D" w:rsidRPr="007E4D23" w:rsidRDefault="007E4D23" w:rsidP="00440975">
            <w:pPr>
              <w:jc w:val="center"/>
              <w:rPr>
                <w:rFonts w:eastAsia="Calibri" w:cs="Arial"/>
                <w:sz w:val="18"/>
                <w:szCs w:val="18"/>
              </w:rPr>
            </w:pPr>
            <w:r w:rsidRPr="007E4D23">
              <w:rPr>
                <w:rFonts w:eastAsia="Calibri" w:cs="Arial"/>
                <w:sz w:val="18"/>
                <w:szCs w:val="18"/>
              </w:rPr>
              <w:t>90.4</w:t>
            </w:r>
            <w:r w:rsidR="00572A9D" w:rsidRPr="007E4D23">
              <w:rPr>
                <w:rFonts w:eastAsia="Calibri" w:cs="Arial"/>
                <w:sz w:val="18"/>
                <w:szCs w:val="18"/>
              </w:rPr>
              <w:t xml:space="preserve">% </w:t>
            </w:r>
          </w:p>
        </w:tc>
        <w:tc>
          <w:tcPr>
            <w:tcW w:w="1417" w:type="dxa"/>
            <w:shd w:val="clear" w:color="auto" w:fill="B6DDE8" w:themeFill="accent5" w:themeFillTint="66"/>
          </w:tcPr>
          <w:p w:rsidR="00572A9D" w:rsidRPr="007E4D23" w:rsidRDefault="007E4D23" w:rsidP="00440975">
            <w:pPr>
              <w:jc w:val="center"/>
              <w:rPr>
                <w:rFonts w:eastAsia="Calibri" w:cs="Arial"/>
                <w:sz w:val="18"/>
                <w:szCs w:val="18"/>
              </w:rPr>
            </w:pPr>
            <w:r w:rsidRPr="007E4D23">
              <w:rPr>
                <w:rFonts w:eastAsia="Calibri" w:cs="Arial"/>
                <w:sz w:val="18"/>
                <w:szCs w:val="18"/>
              </w:rPr>
              <w:t>249</w:t>
            </w:r>
            <w:r w:rsidR="00572A9D" w:rsidRPr="007E4D23">
              <w:rPr>
                <w:rFonts w:eastAsia="Calibri" w:cs="Arial"/>
                <w:sz w:val="18"/>
                <w:szCs w:val="18"/>
              </w:rPr>
              <w:t xml:space="preserve"> / 24</w:t>
            </w:r>
          </w:p>
        </w:tc>
        <w:tc>
          <w:tcPr>
            <w:tcW w:w="1134" w:type="dxa"/>
            <w:shd w:val="clear" w:color="auto" w:fill="B6DDE8" w:themeFill="accent5" w:themeFillTint="66"/>
          </w:tcPr>
          <w:p w:rsidR="00572A9D" w:rsidRPr="007E4D23" w:rsidRDefault="007E4D23" w:rsidP="00A843B0">
            <w:pPr>
              <w:jc w:val="center"/>
            </w:pPr>
            <w:r w:rsidRPr="007E4D23">
              <w:rPr>
                <w:rFonts w:eastAsia="Calibri" w:cs="Arial"/>
                <w:sz w:val="18"/>
                <w:szCs w:val="18"/>
              </w:rPr>
              <w:t>87.1</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5D172F">
            <w:pPr>
              <w:jc w:val="center"/>
              <w:rPr>
                <w:rFonts w:eastAsia="Calibri" w:cs="Arial"/>
                <w:sz w:val="18"/>
                <w:szCs w:val="18"/>
              </w:rPr>
            </w:pPr>
            <w:r w:rsidRPr="007E4D23">
              <w:rPr>
                <w:rFonts w:eastAsia="Calibri" w:cs="Arial"/>
                <w:sz w:val="18"/>
                <w:szCs w:val="18"/>
              </w:rPr>
              <w:t>924</w:t>
            </w:r>
            <w:r w:rsidR="00572A9D" w:rsidRPr="007E4D23">
              <w:rPr>
                <w:rFonts w:eastAsia="Calibri" w:cs="Arial"/>
                <w:sz w:val="18"/>
                <w:szCs w:val="18"/>
              </w:rPr>
              <w:t xml:space="preserve"> / 1</w:t>
            </w:r>
            <w:r w:rsidRPr="007E4D23">
              <w:rPr>
                <w:rFonts w:eastAsia="Calibri" w:cs="Arial"/>
                <w:sz w:val="18"/>
                <w:szCs w:val="18"/>
              </w:rPr>
              <w:t>19</w:t>
            </w:r>
          </w:p>
        </w:tc>
      </w:tr>
      <w:tr w:rsidR="00572A9D" w:rsidRPr="00484FF3" w:rsidTr="00E0457B">
        <w:tc>
          <w:tcPr>
            <w:tcW w:w="2093" w:type="dxa"/>
            <w:tcMar>
              <w:top w:w="0" w:type="dxa"/>
              <w:left w:w="108" w:type="dxa"/>
              <w:bottom w:w="0" w:type="dxa"/>
              <w:right w:w="108" w:type="dxa"/>
            </w:tcMar>
            <w:hideMark/>
          </w:tcPr>
          <w:p w:rsidR="00572A9D" w:rsidRPr="007E4D23" w:rsidRDefault="00572A9D" w:rsidP="003F3AA4">
            <w:pPr>
              <w:rPr>
                <w:rFonts w:eastAsia="Calibri" w:cs="Arial"/>
                <w:sz w:val="18"/>
                <w:szCs w:val="18"/>
              </w:rPr>
            </w:pPr>
            <w:r w:rsidRPr="007E4D23">
              <w:rPr>
                <w:rFonts w:eastAsia="Calibri" w:cs="Arial"/>
                <w:sz w:val="18"/>
                <w:szCs w:val="18"/>
              </w:rPr>
              <w:t>62 screening (90%)</w:t>
            </w:r>
          </w:p>
        </w:tc>
        <w:tc>
          <w:tcPr>
            <w:tcW w:w="1417" w:type="dxa"/>
            <w:shd w:val="clear" w:color="auto" w:fill="B6DDE8" w:themeFill="accent5" w:themeFillTint="66"/>
          </w:tcPr>
          <w:p w:rsidR="00572A9D" w:rsidRPr="007E4D23" w:rsidRDefault="001858AA" w:rsidP="00572A9D">
            <w:pPr>
              <w:jc w:val="center"/>
            </w:pPr>
            <w:r w:rsidRPr="007E4D23">
              <w:rPr>
                <w:rFonts w:eastAsia="Calibri" w:cs="Arial"/>
                <w:sz w:val="18"/>
                <w:szCs w:val="18"/>
              </w:rPr>
              <w:t>100.0</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795020">
            <w:pPr>
              <w:jc w:val="center"/>
              <w:rPr>
                <w:rFonts w:eastAsia="Calibri" w:cs="Arial"/>
                <w:sz w:val="18"/>
                <w:szCs w:val="18"/>
              </w:rPr>
            </w:pPr>
            <w:r w:rsidRPr="007E4D23">
              <w:rPr>
                <w:rFonts w:eastAsia="Calibri" w:cs="Arial"/>
                <w:sz w:val="18"/>
                <w:szCs w:val="18"/>
              </w:rPr>
              <w:t>13</w:t>
            </w:r>
            <w:r w:rsidR="00572A9D" w:rsidRPr="007E4D23">
              <w:rPr>
                <w:rFonts w:eastAsia="Calibri" w:cs="Arial"/>
                <w:sz w:val="18"/>
                <w:szCs w:val="18"/>
              </w:rPr>
              <w:t xml:space="preserve">  / 0</w:t>
            </w:r>
          </w:p>
        </w:tc>
        <w:tc>
          <w:tcPr>
            <w:tcW w:w="1418" w:type="dxa"/>
            <w:shd w:val="clear" w:color="auto" w:fill="B6DDE8" w:themeFill="accent5" w:themeFillTint="66"/>
          </w:tcPr>
          <w:p w:rsidR="00572A9D" w:rsidRPr="007E4D23" w:rsidRDefault="00572A9D" w:rsidP="00440975">
            <w:pPr>
              <w:jc w:val="center"/>
              <w:rPr>
                <w:rFonts w:eastAsia="Calibri" w:cs="Arial"/>
                <w:sz w:val="18"/>
                <w:szCs w:val="18"/>
              </w:rPr>
            </w:pPr>
            <w:r w:rsidRPr="007E4D23">
              <w:rPr>
                <w:rFonts w:eastAsia="Calibri" w:cs="Arial"/>
                <w:sz w:val="18"/>
                <w:szCs w:val="18"/>
              </w:rPr>
              <w:t>100.0%</w:t>
            </w:r>
          </w:p>
        </w:tc>
        <w:tc>
          <w:tcPr>
            <w:tcW w:w="1417" w:type="dxa"/>
            <w:shd w:val="clear" w:color="auto" w:fill="B6DDE8" w:themeFill="accent5" w:themeFillTint="66"/>
          </w:tcPr>
          <w:p w:rsidR="00572A9D" w:rsidRPr="007E4D23" w:rsidRDefault="007E4D23" w:rsidP="00440975">
            <w:pPr>
              <w:jc w:val="center"/>
              <w:rPr>
                <w:rFonts w:eastAsia="Calibri" w:cs="Arial"/>
                <w:sz w:val="18"/>
                <w:szCs w:val="18"/>
              </w:rPr>
            </w:pPr>
            <w:r w:rsidRPr="007E4D23">
              <w:rPr>
                <w:rFonts w:eastAsia="Calibri" w:cs="Arial"/>
                <w:sz w:val="18"/>
                <w:szCs w:val="18"/>
              </w:rPr>
              <w:t xml:space="preserve"> 36 / 0</w:t>
            </w:r>
          </w:p>
        </w:tc>
        <w:tc>
          <w:tcPr>
            <w:tcW w:w="1134" w:type="dxa"/>
            <w:shd w:val="clear" w:color="auto" w:fill="B6DDE8" w:themeFill="accent5" w:themeFillTint="66"/>
          </w:tcPr>
          <w:p w:rsidR="00572A9D" w:rsidRPr="007E4D23" w:rsidRDefault="001858AA" w:rsidP="007E4D23">
            <w:pPr>
              <w:jc w:val="center"/>
            </w:pPr>
            <w:r w:rsidRPr="007E4D23">
              <w:rPr>
                <w:rFonts w:eastAsia="Calibri" w:cs="Arial"/>
                <w:sz w:val="18"/>
                <w:szCs w:val="18"/>
              </w:rPr>
              <w:t>96.</w:t>
            </w:r>
            <w:r w:rsidR="007E4D23" w:rsidRPr="007E4D23">
              <w:rPr>
                <w:rFonts w:eastAsia="Calibri" w:cs="Arial"/>
                <w:sz w:val="18"/>
                <w:szCs w:val="18"/>
              </w:rPr>
              <w:t>6</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F343A9">
            <w:pPr>
              <w:jc w:val="center"/>
              <w:rPr>
                <w:rFonts w:eastAsia="Calibri" w:cs="Arial"/>
                <w:sz w:val="18"/>
                <w:szCs w:val="18"/>
              </w:rPr>
            </w:pPr>
            <w:r w:rsidRPr="007E4D23">
              <w:rPr>
                <w:rFonts w:eastAsia="Calibri" w:cs="Arial"/>
                <w:sz w:val="18"/>
                <w:szCs w:val="18"/>
              </w:rPr>
              <w:t>146</w:t>
            </w:r>
            <w:r w:rsidR="00572A9D" w:rsidRPr="007E4D23">
              <w:rPr>
                <w:rFonts w:eastAsia="Calibri" w:cs="Arial"/>
                <w:sz w:val="18"/>
                <w:szCs w:val="18"/>
              </w:rPr>
              <w:t xml:space="preserve"> / 5</w:t>
            </w:r>
          </w:p>
        </w:tc>
      </w:tr>
      <w:tr w:rsidR="00572A9D" w:rsidRPr="00484FF3" w:rsidTr="00E0457B">
        <w:trPr>
          <w:trHeight w:val="315"/>
        </w:trPr>
        <w:tc>
          <w:tcPr>
            <w:tcW w:w="2093" w:type="dxa"/>
            <w:tcMar>
              <w:top w:w="0" w:type="dxa"/>
              <w:left w:w="108" w:type="dxa"/>
              <w:bottom w:w="0" w:type="dxa"/>
              <w:right w:w="108" w:type="dxa"/>
            </w:tcMar>
            <w:hideMark/>
          </w:tcPr>
          <w:p w:rsidR="00572A9D" w:rsidRPr="00A92BB4" w:rsidRDefault="00572A9D" w:rsidP="003F3AA4">
            <w:pPr>
              <w:rPr>
                <w:rFonts w:eastAsia="Calibri" w:cs="Arial"/>
                <w:sz w:val="18"/>
                <w:szCs w:val="18"/>
              </w:rPr>
            </w:pPr>
            <w:r w:rsidRPr="00A92BB4">
              <w:rPr>
                <w:rFonts w:eastAsia="Calibri" w:cs="Arial"/>
                <w:sz w:val="18"/>
                <w:szCs w:val="18"/>
              </w:rPr>
              <w:t>62 consultant upgrade (86%)</w:t>
            </w:r>
          </w:p>
        </w:tc>
        <w:tc>
          <w:tcPr>
            <w:tcW w:w="1417" w:type="dxa"/>
            <w:shd w:val="clear" w:color="auto" w:fill="B6DDE8" w:themeFill="accent5" w:themeFillTint="66"/>
          </w:tcPr>
          <w:p w:rsidR="00572A9D" w:rsidRPr="007E4D23" w:rsidRDefault="007E4D23" w:rsidP="00572A9D">
            <w:pPr>
              <w:jc w:val="center"/>
            </w:pPr>
            <w:r w:rsidRPr="007E4D23">
              <w:rPr>
                <w:rFonts w:eastAsia="Calibri" w:cs="Arial"/>
                <w:sz w:val="18"/>
                <w:szCs w:val="18"/>
              </w:rPr>
              <w:t>90.0</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563953">
            <w:pPr>
              <w:jc w:val="center"/>
              <w:rPr>
                <w:rFonts w:eastAsia="Calibri" w:cs="Arial"/>
                <w:sz w:val="18"/>
                <w:szCs w:val="18"/>
              </w:rPr>
            </w:pPr>
            <w:r w:rsidRPr="007E4D23">
              <w:rPr>
                <w:rFonts w:eastAsia="Calibri" w:cs="Arial"/>
                <w:sz w:val="18"/>
                <w:szCs w:val="18"/>
              </w:rPr>
              <w:t>30 / 3</w:t>
            </w:r>
          </w:p>
        </w:tc>
        <w:tc>
          <w:tcPr>
            <w:tcW w:w="1418" w:type="dxa"/>
            <w:shd w:val="clear" w:color="auto" w:fill="B6DDE8" w:themeFill="accent5" w:themeFillTint="66"/>
          </w:tcPr>
          <w:p w:rsidR="00572A9D" w:rsidRPr="007E4D23" w:rsidRDefault="007E4D23" w:rsidP="00440975">
            <w:pPr>
              <w:jc w:val="center"/>
              <w:rPr>
                <w:rFonts w:eastAsia="Calibri" w:cs="Arial"/>
                <w:sz w:val="18"/>
                <w:szCs w:val="18"/>
              </w:rPr>
            </w:pPr>
            <w:r w:rsidRPr="007E4D23">
              <w:rPr>
                <w:rFonts w:eastAsia="Calibri" w:cs="Arial"/>
                <w:sz w:val="18"/>
                <w:szCs w:val="18"/>
              </w:rPr>
              <w:t>90.2</w:t>
            </w:r>
            <w:r w:rsidR="00572A9D" w:rsidRPr="007E4D23">
              <w:rPr>
                <w:rFonts w:eastAsia="Calibri" w:cs="Arial"/>
                <w:sz w:val="18"/>
                <w:szCs w:val="18"/>
              </w:rPr>
              <w:t>%</w:t>
            </w:r>
          </w:p>
        </w:tc>
        <w:tc>
          <w:tcPr>
            <w:tcW w:w="1417" w:type="dxa"/>
            <w:shd w:val="clear" w:color="auto" w:fill="B6DDE8" w:themeFill="accent5" w:themeFillTint="66"/>
          </w:tcPr>
          <w:p w:rsidR="00572A9D" w:rsidRPr="007E4D23" w:rsidRDefault="007E4D23" w:rsidP="00101410">
            <w:pPr>
              <w:jc w:val="center"/>
              <w:rPr>
                <w:rFonts w:eastAsia="Calibri" w:cs="Arial"/>
                <w:sz w:val="18"/>
                <w:szCs w:val="18"/>
              </w:rPr>
            </w:pPr>
            <w:r w:rsidRPr="007E4D23">
              <w:rPr>
                <w:rFonts w:eastAsia="Calibri" w:cs="Arial"/>
                <w:sz w:val="18"/>
                <w:szCs w:val="18"/>
              </w:rPr>
              <w:t>92 / 9</w:t>
            </w:r>
          </w:p>
        </w:tc>
        <w:tc>
          <w:tcPr>
            <w:tcW w:w="1134" w:type="dxa"/>
            <w:shd w:val="clear" w:color="auto" w:fill="B6DDE8" w:themeFill="accent5" w:themeFillTint="66"/>
          </w:tcPr>
          <w:p w:rsidR="00572A9D" w:rsidRPr="007E4D23" w:rsidRDefault="007E4D23" w:rsidP="00A843B0">
            <w:pPr>
              <w:jc w:val="center"/>
            </w:pPr>
            <w:r w:rsidRPr="007E4D23">
              <w:rPr>
                <w:rFonts w:eastAsia="Calibri" w:cs="Arial"/>
                <w:sz w:val="18"/>
                <w:szCs w:val="18"/>
              </w:rPr>
              <w:t>93.2</w:t>
            </w:r>
            <w:r w:rsidR="00572A9D" w:rsidRPr="007E4D23">
              <w:rPr>
                <w:rFonts w:eastAsia="Calibri" w:cs="Arial"/>
                <w:sz w:val="18"/>
                <w:szCs w:val="18"/>
              </w:rPr>
              <w:t>%</w:t>
            </w:r>
          </w:p>
        </w:tc>
        <w:tc>
          <w:tcPr>
            <w:tcW w:w="1276" w:type="dxa"/>
            <w:shd w:val="clear" w:color="auto" w:fill="B6DDE8" w:themeFill="accent5" w:themeFillTint="66"/>
          </w:tcPr>
          <w:p w:rsidR="00572A9D" w:rsidRPr="007E4D23" w:rsidRDefault="007E4D23" w:rsidP="005D172F">
            <w:pPr>
              <w:jc w:val="center"/>
              <w:rPr>
                <w:rFonts w:eastAsia="Calibri" w:cs="Arial"/>
                <w:sz w:val="18"/>
                <w:szCs w:val="18"/>
              </w:rPr>
            </w:pPr>
            <w:r w:rsidRPr="007E4D23">
              <w:rPr>
                <w:rFonts w:eastAsia="Calibri" w:cs="Arial"/>
                <w:sz w:val="18"/>
                <w:szCs w:val="18"/>
              </w:rPr>
              <w:t>340 / 23</w:t>
            </w:r>
          </w:p>
        </w:tc>
      </w:tr>
    </w:tbl>
    <w:p w:rsidR="004F6863" w:rsidRDefault="004F6863" w:rsidP="00F36281">
      <w:pPr>
        <w:jc w:val="center"/>
        <w:rPr>
          <w:b/>
        </w:rPr>
      </w:pPr>
    </w:p>
    <w:p w:rsidR="004F6863" w:rsidRDefault="004F6863" w:rsidP="00F36281">
      <w:pPr>
        <w:jc w:val="center"/>
        <w:rPr>
          <w:b/>
        </w:rPr>
      </w:pPr>
    </w:p>
    <w:p w:rsidR="004F6863" w:rsidRDefault="004F6863" w:rsidP="00F36281">
      <w:pPr>
        <w:jc w:val="center"/>
        <w:rPr>
          <w:b/>
        </w:rPr>
      </w:pPr>
    </w:p>
    <w:p w:rsidR="009A6A17" w:rsidRDefault="009A6A17" w:rsidP="00F36281">
      <w:pPr>
        <w:jc w:val="center"/>
        <w:rPr>
          <w:b/>
        </w:rPr>
      </w:pPr>
    </w:p>
    <w:p w:rsidR="004F6863" w:rsidRDefault="004F6863" w:rsidP="00F36281">
      <w:pPr>
        <w:jc w:val="center"/>
        <w:rPr>
          <w:b/>
        </w:rPr>
      </w:pPr>
    </w:p>
    <w:p w:rsidR="00295A51" w:rsidRPr="00F36281" w:rsidRDefault="00BC41C8" w:rsidP="00F36281">
      <w:pPr>
        <w:jc w:val="center"/>
        <w:rPr>
          <w:b/>
        </w:rPr>
      </w:pPr>
      <w:r w:rsidRPr="00F36281">
        <w:rPr>
          <w:b/>
        </w:rPr>
        <w:lastRenderedPageBreak/>
        <w:t>Blackburn with Darwen CCG</w:t>
      </w:r>
    </w:p>
    <w:p w:rsidR="00BC41C8" w:rsidRDefault="00BC41C8"/>
    <w:tbl>
      <w:tblPr>
        <w:tblW w:w="100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093"/>
        <w:gridCol w:w="1417"/>
        <w:gridCol w:w="1418"/>
        <w:gridCol w:w="1276"/>
        <w:gridCol w:w="1275"/>
        <w:gridCol w:w="1276"/>
        <w:gridCol w:w="1276"/>
      </w:tblGrid>
      <w:tr w:rsidR="00CA4AFD" w:rsidRPr="00BC41C8" w:rsidTr="00CA4AFD">
        <w:tc>
          <w:tcPr>
            <w:tcW w:w="2093" w:type="dxa"/>
            <w:shd w:val="clear" w:color="auto" w:fill="D9D9D9" w:themeFill="background1" w:themeFillShade="D9"/>
            <w:tcMar>
              <w:top w:w="0" w:type="dxa"/>
              <w:left w:w="108" w:type="dxa"/>
              <w:bottom w:w="0" w:type="dxa"/>
              <w:right w:w="108" w:type="dxa"/>
            </w:tcMar>
            <w:hideMark/>
          </w:tcPr>
          <w:p w:rsidR="00CA4AFD" w:rsidRPr="006F1E39" w:rsidRDefault="00CA4AFD" w:rsidP="00BC41C8">
            <w:pPr>
              <w:rPr>
                <w:rFonts w:eastAsia="Calibri" w:cs="Arial"/>
                <w:sz w:val="18"/>
                <w:szCs w:val="18"/>
              </w:rPr>
            </w:pPr>
            <w:r w:rsidRPr="006F1E39">
              <w:rPr>
                <w:rFonts w:eastAsia="Calibri" w:cs="Arial"/>
                <w:sz w:val="18"/>
                <w:szCs w:val="18"/>
              </w:rPr>
              <w:t>Standard (target)</w:t>
            </w:r>
          </w:p>
        </w:tc>
        <w:tc>
          <w:tcPr>
            <w:tcW w:w="1417" w:type="dxa"/>
            <w:shd w:val="clear" w:color="auto" w:fill="B6DDE8" w:themeFill="accent5" w:themeFillTint="66"/>
          </w:tcPr>
          <w:p w:rsidR="00CA4AFD" w:rsidRPr="006F1E39" w:rsidRDefault="008947D3" w:rsidP="0094199A">
            <w:pPr>
              <w:jc w:val="center"/>
              <w:rPr>
                <w:rFonts w:eastAsia="Calibri" w:cs="Arial"/>
                <w:sz w:val="18"/>
                <w:szCs w:val="18"/>
              </w:rPr>
            </w:pPr>
            <w:r>
              <w:rPr>
                <w:rFonts w:eastAsia="Calibri" w:cs="Arial"/>
                <w:sz w:val="18"/>
                <w:szCs w:val="18"/>
              </w:rPr>
              <w:t xml:space="preserve">March </w:t>
            </w:r>
            <w:r w:rsidR="00CA4AFD" w:rsidRPr="006F1E39">
              <w:rPr>
                <w:rFonts w:eastAsia="Calibri" w:cs="Arial"/>
                <w:sz w:val="18"/>
                <w:szCs w:val="18"/>
              </w:rPr>
              <w:t>performance</w:t>
            </w:r>
          </w:p>
        </w:tc>
        <w:tc>
          <w:tcPr>
            <w:tcW w:w="1418" w:type="dxa"/>
            <w:shd w:val="clear" w:color="auto" w:fill="B6DDE8" w:themeFill="accent5" w:themeFillTint="66"/>
          </w:tcPr>
          <w:p w:rsidR="00CA4AFD" w:rsidRPr="006F1E39" w:rsidRDefault="008947D3" w:rsidP="008947D3">
            <w:pPr>
              <w:jc w:val="center"/>
              <w:rPr>
                <w:rFonts w:eastAsia="Calibri" w:cs="Arial"/>
                <w:sz w:val="18"/>
                <w:szCs w:val="18"/>
              </w:rPr>
            </w:pPr>
            <w:r>
              <w:rPr>
                <w:rFonts w:eastAsia="Calibri" w:cs="Arial"/>
                <w:sz w:val="18"/>
                <w:szCs w:val="18"/>
              </w:rPr>
              <w:t xml:space="preserve">March </w:t>
            </w:r>
            <w:r w:rsidR="00CA4AFD" w:rsidRPr="006F1E39">
              <w:rPr>
                <w:rFonts w:eastAsia="Calibri" w:cs="Arial"/>
                <w:sz w:val="18"/>
                <w:szCs w:val="18"/>
              </w:rPr>
              <w:t>activity / breaches</w:t>
            </w:r>
          </w:p>
        </w:tc>
        <w:tc>
          <w:tcPr>
            <w:tcW w:w="1276" w:type="dxa"/>
            <w:shd w:val="clear" w:color="auto" w:fill="B6DDE8" w:themeFill="accent5" w:themeFillTint="66"/>
          </w:tcPr>
          <w:p w:rsidR="00CA4AFD" w:rsidRPr="006F1E39" w:rsidRDefault="008947D3" w:rsidP="00440975">
            <w:pPr>
              <w:jc w:val="center"/>
              <w:rPr>
                <w:rFonts w:eastAsia="Calibri" w:cs="Arial"/>
                <w:sz w:val="18"/>
                <w:szCs w:val="18"/>
              </w:rPr>
            </w:pPr>
            <w:r>
              <w:rPr>
                <w:rFonts w:eastAsia="Calibri" w:cs="Arial"/>
                <w:sz w:val="18"/>
                <w:szCs w:val="18"/>
              </w:rPr>
              <w:t>Quarter 4</w:t>
            </w:r>
            <w:r w:rsidR="00CA4AFD">
              <w:rPr>
                <w:rFonts w:eastAsia="Calibri" w:cs="Arial"/>
                <w:sz w:val="18"/>
                <w:szCs w:val="18"/>
              </w:rPr>
              <w:t xml:space="preserve"> </w:t>
            </w:r>
            <w:r w:rsidR="00CA4AFD" w:rsidRPr="006F1E39">
              <w:rPr>
                <w:rFonts w:eastAsia="Calibri" w:cs="Arial"/>
                <w:sz w:val="18"/>
                <w:szCs w:val="18"/>
              </w:rPr>
              <w:t>Performance</w:t>
            </w:r>
          </w:p>
        </w:tc>
        <w:tc>
          <w:tcPr>
            <w:tcW w:w="1275" w:type="dxa"/>
            <w:shd w:val="clear" w:color="auto" w:fill="B6DDE8" w:themeFill="accent5" w:themeFillTint="66"/>
          </w:tcPr>
          <w:p w:rsidR="00CA4AFD" w:rsidRPr="006F1E39" w:rsidRDefault="008947D3" w:rsidP="00440975">
            <w:pPr>
              <w:jc w:val="center"/>
              <w:rPr>
                <w:rFonts w:eastAsia="Calibri" w:cs="Arial"/>
                <w:sz w:val="18"/>
                <w:szCs w:val="18"/>
              </w:rPr>
            </w:pPr>
            <w:r>
              <w:rPr>
                <w:rFonts w:eastAsia="Calibri" w:cs="Arial"/>
                <w:sz w:val="18"/>
                <w:szCs w:val="18"/>
              </w:rPr>
              <w:t>Quarter 4</w:t>
            </w:r>
            <w:r w:rsidR="00CA4AFD">
              <w:rPr>
                <w:rFonts w:eastAsia="Calibri" w:cs="Arial"/>
                <w:sz w:val="18"/>
                <w:szCs w:val="18"/>
              </w:rPr>
              <w:t xml:space="preserve"> </w:t>
            </w:r>
            <w:r w:rsidR="00CA4AFD" w:rsidRPr="006F1E39">
              <w:rPr>
                <w:rFonts w:eastAsia="Calibri" w:cs="Arial"/>
                <w:sz w:val="18"/>
                <w:szCs w:val="18"/>
              </w:rPr>
              <w:t>Activity / breaches</w:t>
            </w:r>
          </w:p>
        </w:tc>
        <w:tc>
          <w:tcPr>
            <w:tcW w:w="1276" w:type="dxa"/>
            <w:shd w:val="clear" w:color="auto" w:fill="B6DDE8" w:themeFill="accent5" w:themeFillTint="66"/>
          </w:tcPr>
          <w:p w:rsidR="00CA4AFD" w:rsidRDefault="008947D3" w:rsidP="00B5510B">
            <w:pPr>
              <w:jc w:val="center"/>
              <w:rPr>
                <w:rFonts w:eastAsia="Calibri" w:cs="Arial"/>
                <w:sz w:val="18"/>
                <w:szCs w:val="18"/>
              </w:rPr>
            </w:pPr>
            <w:r>
              <w:rPr>
                <w:rFonts w:eastAsia="Calibri" w:cs="Arial"/>
                <w:sz w:val="18"/>
                <w:szCs w:val="18"/>
              </w:rPr>
              <w:t xml:space="preserve">Full year </w:t>
            </w:r>
            <w:r w:rsidR="00B5510B" w:rsidRPr="00B5510B">
              <w:rPr>
                <w:rFonts w:eastAsia="Calibri" w:cs="Arial"/>
                <w:sz w:val="18"/>
                <w:szCs w:val="18"/>
              </w:rPr>
              <w:t>performance</w:t>
            </w:r>
            <w:r w:rsidR="00B5510B" w:rsidRPr="00B5510B">
              <w:rPr>
                <w:rFonts w:eastAsia="Calibri" w:cs="Arial"/>
                <w:sz w:val="18"/>
                <w:szCs w:val="18"/>
              </w:rPr>
              <w:tab/>
            </w:r>
          </w:p>
        </w:tc>
        <w:tc>
          <w:tcPr>
            <w:tcW w:w="1276" w:type="dxa"/>
            <w:shd w:val="clear" w:color="auto" w:fill="B6DDE8" w:themeFill="accent5" w:themeFillTint="66"/>
          </w:tcPr>
          <w:p w:rsidR="00CA4AFD" w:rsidRDefault="008947D3" w:rsidP="008947D3">
            <w:pPr>
              <w:jc w:val="center"/>
              <w:rPr>
                <w:rFonts w:eastAsia="Calibri" w:cs="Arial"/>
                <w:sz w:val="18"/>
                <w:szCs w:val="18"/>
              </w:rPr>
            </w:pPr>
            <w:r>
              <w:rPr>
                <w:rFonts w:eastAsia="Calibri" w:cs="Arial"/>
                <w:sz w:val="18"/>
                <w:szCs w:val="18"/>
              </w:rPr>
              <w:t xml:space="preserve">Full </w:t>
            </w:r>
            <w:r w:rsidR="00B5510B" w:rsidRPr="00B5510B">
              <w:rPr>
                <w:rFonts w:eastAsia="Calibri" w:cs="Arial"/>
                <w:sz w:val="18"/>
                <w:szCs w:val="18"/>
              </w:rPr>
              <w:t>Year Activity / performance</w:t>
            </w:r>
          </w:p>
        </w:tc>
      </w:tr>
      <w:tr w:rsidR="00A95724" w:rsidRPr="007E4D23" w:rsidTr="00CA4AFD">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sidRPr="006F1E39">
              <w:rPr>
                <w:rFonts w:eastAsia="Calibri" w:cs="Arial"/>
                <w:sz w:val="18"/>
                <w:szCs w:val="18"/>
              </w:rPr>
              <w:t>14 day (93%)</w:t>
            </w:r>
          </w:p>
        </w:tc>
        <w:tc>
          <w:tcPr>
            <w:tcW w:w="1417" w:type="dxa"/>
            <w:shd w:val="clear" w:color="auto" w:fill="B6DDE8" w:themeFill="accent5" w:themeFillTint="66"/>
          </w:tcPr>
          <w:p w:rsidR="00A95724" w:rsidRPr="00FF4222" w:rsidRDefault="00E93193" w:rsidP="00A843B0">
            <w:pPr>
              <w:jc w:val="center"/>
              <w:rPr>
                <w:rFonts w:eastAsia="Calibri" w:cs="Arial"/>
                <w:sz w:val="18"/>
                <w:szCs w:val="18"/>
              </w:rPr>
            </w:pPr>
            <w:r w:rsidRPr="00FF4222">
              <w:rPr>
                <w:rFonts w:eastAsia="Calibri" w:cs="Arial"/>
                <w:sz w:val="18"/>
                <w:szCs w:val="18"/>
              </w:rPr>
              <w:t>93.8</w:t>
            </w:r>
            <w:r w:rsidR="00A95724" w:rsidRPr="00FF4222">
              <w:rPr>
                <w:rFonts w:eastAsia="Calibri" w:cs="Arial"/>
                <w:sz w:val="18"/>
                <w:szCs w:val="18"/>
              </w:rPr>
              <w:t>%</w:t>
            </w:r>
          </w:p>
        </w:tc>
        <w:tc>
          <w:tcPr>
            <w:tcW w:w="1418" w:type="dxa"/>
            <w:shd w:val="clear" w:color="auto" w:fill="B6DDE8" w:themeFill="accent5" w:themeFillTint="66"/>
          </w:tcPr>
          <w:p w:rsidR="00A95724" w:rsidRPr="00FF4222" w:rsidRDefault="00A02964" w:rsidP="00E93193">
            <w:pPr>
              <w:jc w:val="center"/>
              <w:rPr>
                <w:rFonts w:eastAsia="Calibri" w:cs="Arial"/>
                <w:sz w:val="18"/>
                <w:szCs w:val="18"/>
              </w:rPr>
            </w:pPr>
            <w:r w:rsidRPr="00FF4222">
              <w:rPr>
                <w:rFonts w:eastAsia="Calibri" w:cs="Arial"/>
                <w:sz w:val="18"/>
                <w:szCs w:val="18"/>
              </w:rPr>
              <w:t>3</w:t>
            </w:r>
            <w:r w:rsidR="00E93193" w:rsidRPr="00FF4222">
              <w:rPr>
                <w:rFonts w:eastAsia="Calibri" w:cs="Arial"/>
                <w:sz w:val="18"/>
                <w:szCs w:val="18"/>
              </w:rPr>
              <w:t>70</w:t>
            </w:r>
            <w:r w:rsidR="00A95724" w:rsidRPr="00FF4222">
              <w:rPr>
                <w:rFonts w:eastAsia="Calibri" w:cs="Arial"/>
                <w:sz w:val="18"/>
                <w:szCs w:val="18"/>
              </w:rPr>
              <w:t xml:space="preserve"> / </w:t>
            </w:r>
            <w:r w:rsidRPr="00FF4222">
              <w:rPr>
                <w:rFonts w:eastAsia="Calibri" w:cs="Arial"/>
                <w:sz w:val="18"/>
                <w:szCs w:val="18"/>
              </w:rPr>
              <w:t>2</w:t>
            </w:r>
            <w:r w:rsidR="00E93193" w:rsidRPr="00FF4222">
              <w:rPr>
                <w:rFonts w:eastAsia="Calibri" w:cs="Arial"/>
                <w:sz w:val="18"/>
                <w:szCs w:val="18"/>
              </w:rPr>
              <w:t>3</w:t>
            </w:r>
          </w:p>
        </w:tc>
        <w:tc>
          <w:tcPr>
            <w:tcW w:w="1276" w:type="dxa"/>
            <w:shd w:val="clear" w:color="auto" w:fill="B6DDE8" w:themeFill="accent5" w:themeFillTint="66"/>
          </w:tcPr>
          <w:p w:rsidR="00A95724" w:rsidRPr="00FF4222" w:rsidRDefault="007223AB" w:rsidP="00440975">
            <w:pPr>
              <w:jc w:val="center"/>
              <w:rPr>
                <w:rFonts w:eastAsia="Calibri" w:cs="Arial"/>
                <w:sz w:val="18"/>
                <w:szCs w:val="18"/>
              </w:rPr>
            </w:pPr>
            <w:r w:rsidRPr="00FF4222">
              <w:rPr>
                <w:rFonts w:eastAsia="Calibri" w:cs="Arial"/>
                <w:sz w:val="18"/>
                <w:szCs w:val="18"/>
              </w:rPr>
              <w:t>94.5</w:t>
            </w:r>
            <w:r w:rsidR="00A95724" w:rsidRPr="00FF4222">
              <w:rPr>
                <w:rFonts w:eastAsia="Calibri" w:cs="Arial"/>
                <w:sz w:val="18"/>
                <w:szCs w:val="18"/>
              </w:rPr>
              <w:t>%</w:t>
            </w:r>
          </w:p>
        </w:tc>
        <w:tc>
          <w:tcPr>
            <w:tcW w:w="1275" w:type="dxa"/>
            <w:shd w:val="clear" w:color="auto" w:fill="B6DDE8" w:themeFill="accent5" w:themeFillTint="66"/>
          </w:tcPr>
          <w:p w:rsidR="00A95724" w:rsidRPr="00FF4222" w:rsidRDefault="007223AB" w:rsidP="007223AB">
            <w:pPr>
              <w:jc w:val="center"/>
              <w:rPr>
                <w:rFonts w:eastAsia="Calibri" w:cs="Arial"/>
                <w:sz w:val="18"/>
                <w:szCs w:val="18"/>
              </w:rPr>
            </w:pPr>
            <w:r w:rsidRPr="00FF4222">
              <w:rPr>
                <w:rFonts w:eastAsia="Calibri" w:cs="Arial"/>
                <w:sz w:val="18"/>
                <w:szCs w:val="18"/>
              </w:rPr>
              <w:t>1026</w:t>
            </w:r>
            <w:r w:rsidR="00A95724" w:rsidRPr="00FF4222">
              <w:rPr>
                <w:rFonts w:eastAsia="Calibri" w:cs="Arial"/>
                <w:sz w:val="18"/>
                <w:szCs w:val="18"/>
              </w:rPr>
              <w:t xml:space="preserve"> / </w:t>
            </w:r>
            <w:r w:rsidRPr="00FF4222">
              <w:rPr>
                <w:rFonts w:eastAsia="Calibri" w:cs="Arial"/>
                <w:sz w:val="18"/>
                <w:szCs w:val="18"/>
              </w:rPr>
              <w:t>56</w:t>
            </w:r>
          </w:p>
        </w:tc>
        <w:tc>
          <w:tcPr>
            <w:tcW w:w="1276" w:type="dxa"/>
            <w:shd w:val="clear" w:color="auto" w:fill="B6DDE8" w:themeFill="accent5" w:themeFillTint="66"/>
          </w:tcPr>
          <w:p w:rsidR="00A95724" w:rsidRPr="00FF4222" w:rsidRDefault="007223AB" w:rsidP="00A843B0">
            <w:pPr>
              <w:jc w:val="center"/>
              <w:rPr>
                <w:rFonts w:eastAsia="Calibri" w:cs="Arial"/>
                <w:sz w:val="18"/>
                <w:szCs w:val="18"/>
              </w:rPr>
            </w:pPr>
            <w:r w:rsidRPr="00FF4222">
              <w:rPr>
                <w:rFonts w:eastAsia="Calibri" w:cs="Arial"/>
                <w:sz w:val="18"/>
                <w:szCs w:val="18"/>
              </w:rPr>
              <w:t>96.3%</w:t>
            </w:r>
          </w:p>
        </w:tc>
        <w:tc>
          <w:tcPr>
            <w:tcW w:w="1276" w:type="dxa"/>
            <w:shd w:val="clear" w:color="auto" w:fill="B6DDE8" w:themeFill="accent5" w:themeFillTint="66"/>
          </w:tcPr>
          <w:p w:rsidR="00A95724" w:rsidRPr="00FF4222" w:rsidRDefault="00563953" w:rsidP="007223AB">
            <w:pPr>
              <w:jc w:val="center"/>
              <w:rPr>
                <w:rFonts w:eastAsia="Calibri" w:cs="Arial"/>
                <w:sz w:val="18"/>
                <w:szCs w:val="18"/>
              </w:rPr>
            </w:pPr>
            <w:r w:rsidRPr="00FF4222">
              <w:rPr>
                <w:rFonts w:eastAsia="Calibri" w:cs="Arial"/>
                <w:sz w:val="18"/>
                <w:szCs w:val="18"/>
              </w:rPr>
              <w:t>4,</w:t>
            </w:r>
            <w:r w:rsidR="007223AB" w:rsidRPr="00FF4222">
              <w:rPr>
                <w:rFonts w:eastAsia="Calibri" w:cs="Arial"/>
                <w:sz w:val="18"/>
                <w:szCs w:val="18"/>
              </w:rPr>
              <w:t>387</w:t>
            </w:r>
            <w:r w:rsidR="00A95724" w:rsidRPr="00FF4222">
              <w:rPr>
                <w:rFonts w:eastAsia="Calibri" w:cs="Arial"/>
                <w:sz w:val="18"/>
                <w:szCs w:val="18"/>
              </w:rPr>
              <w:t xml:space="preserve"> /  1</w:t>
            </w:r>
            <w:r w:rsidR="007223AB" w:rsidRPr="00FF4222">
              <w:rPr>
                <w:rFonts w:eastAsia="Calibri" w:cs="Arial"/>
                <w:sz w:val="18"/>
                <w:szCs w:val="18"/>
              </w:rPr>
              <w:t>64</w:t>
            </w:r>
          </w:p>
        </w:tc>
      </w:tr>
      <w:tr w:rsidR="00A95724" w:rsidRPr="007E4D23" w:rsidTr="00CA4AFD">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sidRPr="006F1E39">
              <w:rPr>
                <w:rFonts w:eastAsia="Calibri" w:cs="Arial"/>
                <w:sz w:val="18"/>
                <w:szCs w:val="18"/>
              </w:rPr>
              <w:t>14 day breast (93%)</w:t>
            </w:r>
          </w:p>
        </w:tc>
        <w:tc>
          <w:tcPr>
            <w:tcW w:w="1417" w:type="dxa"/>
            <w:shd w:val="clear" w:color="auto" w:fill="B6DDE8" w:themeFill="accent5" w:themeFillTint="66"/>
          </w:tcPr>
          <w:p w:rsidR="00A95724" w:rsidRPr="00DE4E24" w:rsidRDefault="00FF4222" w:rsidP="00A843B0">
            <w:pPr>
              <w:jc w:val="center"/>
              <w:rPr>
                <w:rFonts w:eastAsia="Calibri" w:cs="Arial"/>
                <w:sz w:val="18"/>
                <w:szCs w:val="18"/>
              </w:rPr>
            </w:pPr>
            <w:r w:rsidRPr="00C109C0">
              <w:rPr>
                <w:rFonts w:eastAsia="Calibri" w:cs="Arial"/>
                <w:color w:val="FF0000"/>
                <w:sz w:val="18"/>
                <w:szCs w:val="18"/>
              </w:rPr>
              <w:t>91.8</w:t>
            </w:r>
            <w:r w:rsidR="00A95724" w:rsidRPr="00C109C0">
              <w:rPr>
                <w:rFonts w:eastAsia="Calibri" w:cs="Arial"/>
                <w:color w:val="FF0000"/>
                <w:sz w:val="18"/>
                <w:szCs w:val="18"/>
              </w:rPr>
              <w:t>%</w:t>
            </w:r>
          </w:p>
        </w:tc>
        <w:tc>
          <w:tcPr>
            <w:tcW w:w="1418" w:type="dxa"/>
            <w:shd w:val="clear" w:color="auto" w:fill="B6DDE8" w:themeFill="accent5" w:themeFillTint="66"/>
          </w:tcPr>
          <w:p w:rsidR="00A95724" w:rsidRPr="00DE4E24" w:rsidRDefault="00DE4E24" w:rsidP="00F213EF">
            <w:pPr>
              <w:jc w:val="center"/>
              <w:rPr>
                <w:rFonts w:eastAsia="Calibri" w:cs="Arial"/>
                <w:sz w:val="18"/>
                <w:szCs w:val="18"/>
              </w:rPr>
            </w:pPr>
            <w:r w:rsidRPr="00DE4E24">
              <w:rPr>
                <w:rFonts w:eastAsia="Calibri" w:cs="Arial"/>
                <w:sz w:val="18"/>
                <w:szCs w:val="18"/>
              </w:rPr>
              <w:t>61</w:t>
            </w:r>
            <w:r w:rsidR="00FF4222" w:rsidRPr="00DE4E24">
              <w:rPr>
                <w:rFonts w:eastAsia="Calibri" w:cs="Arial"/>
                <w:sz w:val="18"/>
                <w:szCs w:val="18"/>
              </w:rPr>
              <w:t xml:space="preserve"> / 5</w:t>
            </w:r>
          </w:p>
        </w:tc>
        <w:tc>
          <w:tcPr>
            <w:tcW w:w="1276" w:type="dxa"/>
            <w:shd w:val="clear" w:color="auto" w:fill="B6DDE8" w:themeFill="accent5" w:themeFillTint="66"/>
          </w:tcPr>
          <w:p w:rsidR="00A95724" w:rsidRPr="00DE4E24" w:rsidRDefault="00DE4E24" w:rsidP="00440975">
            <w:pPr>
              <w:jc w:val="center"/>
              <w:rPr>
                <w:rFonts w:eastAsia="Calibri" w:cs="Arial"/>
                <w:sz w:val="18"/>
                <w:szCs w:val="18"/>
              </w:rPr>
            </w:pPr>
            <w:r w:rsidRPr="00DE4E24">
              <w:rPr>
                <w:rFonts w:eastAsia="Calibri" w:cs="Arial"/>
                <w:sz w:val="18"/>
                <w:szCs w:val="18"/>
              </w:rPr>
              <w:t>95.3</w:t>
            </w:r>
            <w:r w:rsidR="00A95724" w:rsidRPr="00DE4E24">
              <w:rPr>
                <w:rFonts w:eastAsia="Calibri" w:cs="Arial"/>
                <w:sz w:val="18"/>
                <w:szCs w:val="18"/>
              </w:rPr>
              <w:t>%</w:t>
            </w:r>
          </w:p>
        </w:tc>
        <w:tc>
          <w:tcPr>
            <w:tcW w:w="1275" w:type="dxa"/>
            <w:shd w:val="clear" w:color="auto" w:fill="B6DDE8" w:themeFill="accent5" w:themeFillTint="66"/>
          </w:tcPr>
          <w:p w:rsidR="00A95724" w:rsidRPr="00DE4E24" w:rsidRDefault="00DE4E24" w:rsidP="00DE4E24">
            <w:pPr>
              <w:jc w:val="center"/>
              <w:rPr>
                <w:rFonts w:eastAsia="Calibri" w:cs="Arial"/>
                <w:sz w:val="18"/>
                <w:szCs w:val="18"/>
              </w:rPr>
            </w:pPr>
            <w:r w:rsidRPr="00DE4E24">
              <w:rPr>
                <w:rFonts w:eastAsia="Calibri" w:cs="Arial"/>
                <w:sz w:val="18"/>
                <w:szCs w:val="18"/>
              </w:rPr>
              <w:t>171</w:t>
            </w:r>
            <w:r w:rsidR="00A95724" w:rsidRPr="00DE4E24">
              <w:rPr>
                <w:rFonts w:eastAsia="Calibri" w:cs="Arial"/>
                <w:sz w:val="18"/>
                <w:szCs w:val="18"/>
              </w:rPr>
              <w:t xml:space="preserve"> / </w:t>
            </w:r>
            <w:r w:rsidRPr="00DE4E24">
              <w:rPr>
                <w:rFonts w:eastAsia="Calibri" w:cs="Arial"/>
                <w:sz w:val="18"/>
                <w:szCs w:val="18"/>
              </w:rPr>
              <w:t>8</w:t>
            </w:r>
          </w:p>
        </w:tc>
        <w:tc>
          <w:tcPr>
            <w:tcW w:w="1276" w:type="dxa"/>
            <w:shd w:val="clear" w:color="auto" w:fill="B6DDE8" w:themeFill="accent5" w:themeFillTint="66"/>
          </w:tcPr>
          <w:p w:rsidR="00A95724" w:rsidRPr="00DE4E24" w:rsidRDefault="00B11A86" w:rsidP="00DE4E24">
            <w:pPr>
              <w:jc w:val="center"/>
              <w:rPr>
                <w:rFonts w:eastAsia="Calibri" w:cs="Arial"/>
                <w:sz w:val="18"/>
                <w:szCs w:val="18"/>
              </w:rPr>
            </w:pPr>
            <w:r w:rsidRPr="00DE4E24">
              <w:rPr>
                <w:rFonts w:eastAsia="Calibri" w:cs="Arial"/>
                <w:sz w:val="18"/>
                <w:szCs w:val="18"/>
              </w:rPr>
              <w:t>95.</w:t>
            </w:r>
            <w:r w:rsidR="00DE4E24" w:rsidRPr="00DE4E24">
              <w:rPr>
                <w:rFonts w:eastAsia="Calibri" w:cs="Arial"/>
                <w:sz w:val="18"/>
                <w:szCs w:val="18"/>
              </w:rPr>
              <w:t>5</w:t>
            </w:r>
            <w:r w:rsidR="00A95724" w:rsidRPr="00DE4E24">
              <w:rPr>
                <w:rFonts w:eastAsia="Calibri" w:cs="Arial"/>
                <w:sz w:val="18"/>
                <w:szCs w:val="18"/>
              </w:rPr>
              <w:t>%</w:t>
            </w:r>
          </w:p>
        </w:tc>
        <w:tc>
          <w:tcPr>
            <w:tcW w:w="1276" w:type="dxa"/>
            <w:shd w:val="clear" w:color="auto" w:fill="B6DDE8" w:themeFill="accent5" w:themeFillTint="66"/>
          </w:tcPr>
          <w:p w:rsidR="00A95724" w:rsidRPr="00DE4E24" w:rsidRDefault="00DE4E24" w:rsidP="00DE4E24">
            <w:pPr>
              <w:jc w:val="center"/>
              <w:rPr>
                <w:rFonts w:eastAsia="Calibri" w:cs="Arial"/>
                <w:sz w:val="18"/>
                <w:szCs w:val="18"/>
              </w:rPr>
            </w:pPr>
            <w:r w:rsidRPr="00DE4E24">
              <w:rPr>
                <w:rFonts w:eastAsia="Calibri" w:cs="Arial"/>
                <w:sz w:val="18"/>
                <w:szCs w:val="18"/>
              </w:rPr>
              <w:t>714</w:t>
            </w:r>
            <w:r w:rsidR="00563953" w:rsidRPr="00DE4E24">
              <w:rPr>
                <w:rFonts w:eastAsia="Calibri" w:cs="Arial"/>
                <w:sz w:val="18"/>
                <w:szCs w:val="18"/>
              </w:rPr>
              <w:t xml:space="preserve"> / </w:t>
            </w:r>
            <w:r w:rsidRPr="00DE4E24">
              <w:rPr>
                <w:rFonts w:eastAsia="Calibri" w:cs="Arial"/>
                <w:sz w:val="18"/>
                <w:szCs w:val="18"/>
              </w:rPr>
              <w:t>32</w:t>
            </w:r>
          </w:p>
        </w:tc>
      </w:tr>
      <w:tr w:rsidR="00A95724" w:rsidRPr="007E4D23" w:rsidTr="00CA4AFD">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sidRPr="006F1E39">
              <w:rPr>
                <w:rFonts w:eastAsia="Calibri" w:cs="Arial"/>
                <w:sz w:val="18"/>
                <w:szCs w:val="18"/>
              </w:rPr>
              <w:t>31 day first treatment (96%)</w:t>
            </w:r>
          </w:p>
        </w:tc>
        <w:tc>
          <w:tcPr>
            <w:tcW w:w="1417" w:type="dxa"/>
            <w:shd w:val="clear" w:color="auto" w:fill="B6DDE8" w:themeFill="accent5" w:themeFillTint="66"/>
          </w:tcPr>
          <w:p w:rsidR="00A95724" w:rsidRPr="00D75496" w:rsidRDefault="00D75496" w:rsidP="00A843B0">
            <w:pPr>
              <w:jc w:val="center"/>
            </w:pPr>
            <w:r w:rsidRPr="00D75496">
              <w:rPr>
                <w:rFonts w:eastAsia="Calibri" w:cs="Arial"/>
                <w:sz w:val="18"/>
                <w:szCs w:val="18"/>
              </w:rPr>
              <w:t>96.2</w:t>
            </w:r>
            <w:r w:rsidR="00A95724" w:rsidRPr="00D75496">
              <w:rPr>
                <w:rFonts w:eastAsia="Calibri" w:cs="Arial"/>
                <w:sz w:val="18"/>
                <w:szCs w:val="18"/>
              </w:rPr>
              <w:t>%</w:t>
            </w:r>
          </w:p>
        </w:tc>
        <w:tc>
          <w:tcPr>
            <w:tcW w:w="1418" w:type="dxa"/>
            <w:shd w:val="clear" w:color="auto" w:fill="B6DDE8" w:themeFill="accent5" w:themeFillTint="66"/>
          </w:tcPr>
          <w:p w:rsidR="00A95724" w:rsidRPr="00D75496" w:rsidRDefault="00D75496" w:rsidP="00D75496">
            <w:pPr>
              <w:jc w:val="center"/>
              <w:rPr>
                <w:rFonts w:eastAsia="Calibri" w:cs="Arial"/>
                <w:sz w:val="18"/>
                <w:szCs w:val="18"/>
              </w:rPr>
            </w:pPr>
            <w:r w:rsidRPr="00D75496">
              <w:rPr>
                <w:rFonts w:eastAsia="Calibri" w:cs="Arial"/>
                <w:sz w:val="18"/>
                <w:szCs w:val="18"/>
              </w:rPr>
              <w:t>53</w:t>
            </w:r>
            <w:r w:rsidR="00A95724" w:rsidRPr="00D75496">
              <w:rPr>
                <w:rFonts w:eastAsia="Calibri" w:cs="Arial"/>
                <w:sz w:val="18"/>
                <w:szCs w:val="18"/>
              </w:rPr>
              <w:t xml:space="preserve"> / </w:t>
            </w:r>
            <w:r w:rsidRPr="00D75496">
              <w:rPr>
                <w:rFonts w:eastAsia="Calibri" w:cs="Arial"/>
                <w:sz w:val="18"/>
                <w:szCs w:val="18"/>
              </w:rPr>
              <w:t>2</w:t>
            </w:r>
          </w:p>
        </w:tc>
        <w:tc>
          <w:tcPr>
            <w:tcW w:w="1276" w:type="dxa"/>
            <w:shd w:val="clear" w:color="auto" w:fill="B6DDE8" w:themeFill="accent5" w:themeFillTint="66"/>
          </w:tcPr>
          <w:p w:rsidR="00A95724" w:rsidRPr="00D75496" w:rsidRDefault="00D75496" w:rsidP="00440975">
            <w:pPr>
              <w:jc w:val="center"/>
              <w:rPr>
                <w:rFonts w:eastAsia="Calibri" w:cs="Arial"/>
                <w:sz w:val="18"/>
                <w:szCs w:val="18"/>
              </w:rPr>
            </w:pPr>
            <w:r w:rsidRPr="00D75496">
              <w:rPr>
                <w:rFonts w:eastAsia="Calibri" w:cs="Arial"/>
                <w:sz w:val="18"/>
                <w:szCs w:val="18"/>
              </w:rPr>
              <w:t>98.11</w:t>
            </w:r>
            <w:r w:rsidR="00A95724" w:rsidRPr="00D75496">
              <w:rPr>
                <w:rFonts w:eastAsia="Calibri" w:cs="Arial"/>
                <w:sz w:val="18"/>
                <w:szCs w:val="18"/>
              </w:rPr>
              <w:t>%</w:t>
            </w:r>
          </w:p>
        </w:tc>
        <w:tc>
          <w:tcPr>
            <w:tcW w:w="1275" w:type="dxa"/>
            <w:shd w:val="clear" w:color="auto" w:fill="B6DDE8" w:themeFill="accent5" w:themeFillTint="66"/>
          </w:tcPr>
          <w:p w:rsidR="00A95724" w:rsidRPr="00D75496" w:rsidRDefault="00D75496" w:rsidP="00440975">
            <w:pPr>
              <w:jc w:val="center"/>
              <w:rPr>
                <w:rFonts w:eastAsia="Calibri" w:cs="Arial"/>
                <w:sz w:val="18"/>
                <w:szCs w:val="18"/>
              </w:rPr>
            </w:pPr>
            <w:r w:rsidRPr="00D75496">
              <w:rPr>
                <w:rFonts w:eastAsia="Calibri" w:cs="Arial"/>
                <w:sz w:val="18"/>
                <w:szCs w:val="18"/>
              </w:rPr>
              <w:t>159 / 3</w:t>
            </w:r>
          </w:p>
          <w:p w:rsidR="00A95724" w:rsidRPr="00D75496" w:rsidRDefault="00A95724" w:rsidP="00440975">
            <w:pPr>
              <w:jc w:val="center"/>
              <w:rPr>
                <w:rFonts w:eastAsia="Calibri" w:cs="Arial"/>
                <w:sz w:val="18"/>
                <w:szCs w:val="18"/>
              </w:rPr>
            </w:pPr>
          </w:p>
        </w:tc>
        <w:tc>
          <w:tcPr>
            <w:tcW w:w="1276" w:type="dxa"/>
            <w:shd w:val="clear" w:color="auto" w:fill="B6DDE8" w:themeFill="accent5" w:themeFillTint="66"/>
          </w:tcPr>
          <w:p w:rsidR="00A95724" w:rsidRPr="00D75496" w:rsidRDefault="00D75496" w:rsidP="00A843B0">
            <w:pPr>
              <w:jc w:val="center"/>
            </w:pPr>
            <w:r w:rsidRPr="00D75496">
              <w:rPr>
                <w:rFonts w:eastAsia="Calibri" w:cs="Arial"/>
                <w:sz w:val="18"/>
                <w:szCs w:val="18"/>
              </w:rPr>
              <w:t>99.1%</w:t>
            </w:r>
          </w:p>
        </w:tc>
        <w:tc>
          <w:tcPr>
            <w:tcW w:w="1276" w:type="dxa"/>
            <w:shd w:val="clear" w:color="auto" w:fill="B6DDE8" w:themeFill="accent5" w:themeFillTint="66"/>
          </w:tcPr>
          <w:p w:rsidR="00A95724" w:rsidRPr="00D75496" w:rsidRDefault="00D75496" w:rsidP="00D75496">
            <w:pPr>
              <w:jc w:val="center"/>
              <w:rPr>
                <w:rFonts w:eastAsia="Calibri" w:cs="Arial"/>
                <w:sz w:val="18"/>
                <w:szCs w:val="18"/>
              </w:rPr>
            </w:pPr>
            <w:r w:rsidRPr="00D75496">
              <w:rPr>
                <w:rFonts w:eastAsia="Calibri" w:cs="Arial"/>
                <w:sz w:val="18"/>
                <w:szCs w:val="18"/>
              </w:rPr>
              <w:t>668</w:t>
            </w:r>
            <w:r w:rsidR="00A95724" w:rsidRPr="00D75496">
              <w:rPr>
                <w:rFonts w:eastAsia="Calibri" w:cs="Arial"/>
                <w:sz w:val="18"/>
                <w:szCs w:val="18"/>
              </w:rPr>
              <w:t xml:space="preserve"> / </w:t>
            </w:r>
            <w:r w:rsidRPr="00D75496">
              <w:rPr>
                <w:rFonts w:eastAsia="Calibri" w:cs="Arial"/>
                <w:sz w:val="18"/>
                <w:szCs w:val="18"/>
              </w:rPr>
              <w:t>6</w:t>
            </w:r>
          </w:p>
        </w:tc>
      </w:tr>
      <w:tr w:rsidR="00A95724" w:rsidRPr="007E4D23" w:rsidTr="00CA4AFD">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Pr>
                <w:rFonts w:eastAsia="Calibri" w:cs="Arial"/>
                <w:sz w:val="18"/>
                <w:szCs w:val="18"/>
              </w:rPr>
              <w:t xml:space="preserve">31 subsequent </w:t>
            </w:r>
            <w:r w:rsidRPr="006F1E39">
              <w:rPr>
                <w:rFonts w:eastAsia="Calibri" w:cs="Arial"/>
                <w:sz w:val="18"/>
                <w:szCs w:val="18"/>
              </w:rPr>
              <w:t>surgery (94%)</w:t>
            </w:r>
          </w:p>
        </w:tc>
        <w:tc>
          <w:tcPr>
            <w:tcW w:w="1417" w:type="dxa"/>
            <w:shd w:val="clear" w:color="auto" w:fill="B6DDE8" w:themeFill="accent5" w:themeFillTint="66"/>
          </w:tcPr>
          <w:p w:rsidR="00A95724" w:rsidRPr="00D75496" w:rsidRDefault="00563953" w:rsidP="00A843B0">
            <w:pPr>
              <w:jc w:val="center"/>
            </w:pPr>
            <w:r w:rsidRPr="00D75496">
              <w:rPr>
                <w:rFonts w:eastAsia="Calibri" w:cs="Arial"/>
                <w:sz w:val="18"/>
                <w:szCs w:val="18"/>
              </w:rPr>
              <w:t>100.0</w:t>
            </w:r>
            <w:r w:rsidR="00A95724" w:rsidRPr="00D75496">
              <w:rPr>
                <w:rFonts w:eastAsia="Calibri" w:cs="Arial"/>
                <w:sz w:val="18"/>
                <w:szCs w:val="18"/>
              </w:rPr>
              <w:t>%</w:t>
            </w:r>
          </w:p>
        </w:tc>
        <w:tc>
          <w:tcPr>
            <w:tcW w:w="1418" w:type="dxa"/>
            <w:shd w:val="clear" w:color="auto" w:fill="B6DDE8" w:themeFill="accent5" w:themeFillTint="66"/>
          </w:tcPr>
          <w:p w:rsidR="00A95724" w:rsidRPr="00D75496" w:rsidRDefault="00A02964" w:rsidP="0094199A">
            <w:pPr>
              <w:jc w:val="center"/>
              <w:rPr>
                <w:rFonts w:eastAsia="Calibri" w:cs="Arial"/>
                <w:sz w:val="18"/>
                <w:szCs w:val="18"/>
              </w:rPr>
            </w:pPr>
            <w:r w:rsidRPr="00D75496">
              <w:rPr>
                <w:rFonts w:eastAsia="Calibri" w:cs="Arial"/>
                <w:sz w:val="18"/>
                <w:szCs w:val="18"/>
              </w:rPr>
              <w:t>10</w:t>
            </w:r>
            <w:r w:rsidR="00A95724" w:rsidRPr="00D75496">
              <w:rPr>
                <w:rFonts w:eastAsia="Calibri" w:cs="Arial"/>
                <w:sz w:val="18"/>
                <w:szCs w:val="18"/>
              </w:rPr>
              <w:t xml:space="preserve"> / 0</w:t>
            </w:r>
          </w:p>
        </w:tc>
        <w:tc>
          <w:tcPr>
            <w:tcW w:w="1276" w:type="dxa"/>
            <w:shd w:val="clear" w:color="auto" w:fill="B6DDE8" w:themeFill="accent5" w:themeFillTint="66"/>
          </w:tcPr>
          <w:p w:rsidR="00A95724" w:rsidRPr="00D75496" w:rsidRDefault="00A95724" w:rsidP="00440975">
            <w:pPr>
              <w:jc w:val="center"/>
              <w:rPr>
                <w:rFonts w:eastAsia="Calibri" w:cs="Arial"/>
                <w:sz w:val="18"/>
                <w:szCs w:val="18"/>
              </w:rPr>
            </w:pPr>
            <w:r w:rsidRPr="00D75496">
              <w:rPr>
                <w:rFonts w:eastAsia="Calibri" w:cs="Arial"/>
                <w:sz w:val="18"/>
                <w:szCs w:val="18"/>
              </w:rPr>
              <w:t>100.0%</w:t>
            </w:r>
          </w:p>
        </w:tc>
        <w:tc>
          <w:tcPr>
            <w:tcW w:w="1275" w:type="dxa"/>
            <w:shd w:val="clear" w:color="auto" w:fill="B6DDE8" w:themeFill="accent5" w:themeFillTint="66"/>
          </w:tcPr>
          <w:p w:rsidR="00A95724" w:rsidRPr="00D75496" w:rsidRDefault="00D75496" w:rsidP="00921229">
            <w:pPr>
              <w:jc w:val="center"/>
              <w:rPr>
                <w:rFonts w:eastAsia="Calibri" w:cs="Arial"/>
                <w:sz w:val="18"/>
                <w:szCs w:val="18"/>
              </w:rPr>
            </w:pPr>
            <w:r w:rsidRPr="00D75496">
              <w:rPr>
                <w:rFonts w:eastAsia="Calibri" w:cs="Arial"/>
                <w:sz w:val="18"/>
                <w:szCs w:val="18"/>
              </w:rPr>
              <w:t>32</w:t>
            </w:r>
            <w:r w:rsidR="00A95724" w:rsidRPr="00D75496">
              <w:rPr>
                <w:rFonts w:eastAsia="Calibri" w:cs="Arial"/>
                <w:sz w:val="18"/>
                <w:szCs w:val="18"/>
              </w:rPr>
              <w:t xml:space="preserve"> / 0</w:t>
            </w:r>
          </w:p>
        </w:tc>
        <w:tc>
          <w:tcPr>
            <w:tcW w:w="1276" w:type="dxa"/>
            <w:shd w:val="clear" w:color="auto" w:fill="B6DDE8" w:themeFill="accent5" w:themeFillTint="66"/>
          </w:tcPr>
          <w:p w:rsidR="00A95724" w:rsidRPr="00D75496" w:rsidRDefault="00467597" w:rsidP="00A843B0">
            <w:pPr>
              <w:jc w:val="center"/>
            </w:pPr>
            <w:r>
              <w:rPr>
                <w:rFonts w:eastAsia="Calibri" w:cs="Arial"/>
                <w:sz w:val="18"/>
                <w:szCs w:val="18"/>
              </w:rPr>
              <w:t>97.</w:t>
            </w:r>
            <w:r w:rsidR="00D75496" w:rsidRPr="00D75496">
              <w:rPr>
                <w:rFonts w:eastAsia="Calibri" w:cs="Arial"/>
                <w:sz w:val="18"/>
                <w:szCs w:val="18"/>
              </w:rPr>
              <w:t>0%</w:t>
            </w:r>
          </w:p>
        </w:tc>
        <w:tc>
          <w:tcPr>
            <w:tcW w:w="1276" w:type="dxa"/>
            <w:shd w:val="clear" w:color="auto" w:fill="B6DDE8" w:themeFill="accent5" w:themeFillTint="66"/>
          </w:tcPr>
          <w:p w:rsidR="00A95724" w:rsidRPr="00D75496" w:rsidRDefault="00563953" w:rsidP="00D75496">
            <w:pPr>
              <w:jc w:val="center"/>
              <w:rPr>
                <w:rFonts w:eastAsia="Calibri" w:cs="Arial"/>
                <w:sz w:val="18"/>
                <w:szCs w:val="18"/>
              </w:rPr>
            </w:pPr>
            <w:r w:rsidRPr="00D75496">
              <w:rPr>
                <w:rFonts w:eastAsia="Calibri" w:cs="Arial"/>
                <w:sz w:val="18"/>
                <w:szCs w:val="18"/>
              </w:rPr>
              <w:t>1</w:t>
            </w:r>
            <w:r w:rsidR="00D75496" w:rsidRPr="00D75496">
              <w:rPr>
                <w:rFonts w:eastAsia="Calibri" w:cs="Arial"/>
                <w:sz w:val="18"/>
                <w:szCs w:val="18"/>
              </w:rPr>
              <w:t>3</w:t>
            </w:r>
            <w:r w:rsidR="00A95724" w:rsidRPr="00D75496">
              <w:rPr>
                <w:rFonts w:eastAsia="Calibri" w:cs="Arial"/>
                <w:sz w:val="18"/>
                <w:szCs w:val="18"/>
              </w:rPr>
              <w:t>4 / 4</w:t>
            </w:r>
          </w:p>
        </w:tc>
      </w:tr>
      <w:tr w:rsidR="00A95724" w:rsidRPr="007E4D23" w:rsidTr="00CA4AFD">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sidRPr="006F1E39">
              <w:rPr>
                <w:rFonts w:eastAsia="Calibri" w:cs="Arial"/>
                <w:sz w:val="18"/>
                <w:szCs w:val="18"/>
              </w:rPr>
              <w:t>31 subsequent chemotherapy (98%)</w:t>
            </w:r>
          </w:p>
        </w:tc>
        <w:tc>
          <w:tcPr>
            <w:tcW w:w="1417" w:type="dxa"/>
            <w:shd w:val="clear" w:color="auto" w:fill="B6DDE8" w:themeFill="accent5" w:themeFillTint="66"/>
          </w:tcPr>
          <w:p w:rsidR="00A95724" w:rsidRPr="00AC2246" w:rsidRDefault="00563953" w:rsidP="00A843B0">
            <w:pPr>
              <w:jc w:val="center"/>
            </w:pPr>
            <w:r w:rsidRPr="00AC2246">
              <w:rPr>
                <w:rFonts w:eastAsia="Calibri" w:cs="Arial"/>
                <w:sz w:val="18"/>
                <w:szCs w:val="18"/>
              </w:rPr>
              <w:t>100.0</w:t>
            </w:r>
            <w:r w:rsidR="00A95724" w:rsidRPr="00AC2246">
              <w:rPr>
                <w:rFonts w:eastAsia="Calibri" w:cs="Arial"/>
                <w:sz w:val="18"/>
                <w:szCs w:val="18"/>
              </w:rPr>
              <w:t>%</w:t>
            </w:r>
          </w:p>
        </w:tc>
        <w:tc>
          <w:tcPr>
            <w:tcW w:w="1418" w:type="dxa"/>
            <w:shd w:val="clear" w:color="auto" w:fill="B6DDE8" w:themeFill="accent5" w:themeFillTint="66"/>
          </w:tcPr>
          <w:p w:rsidR="00A95724" w:rsidRPr="00AC2246" w:rsidRDefault="00D75496" w:rsidP="004B0D0F">
            <w:pPr>
              <w:jc w:val="center"/>
              <w:rPr>
                <w:rFonts w:eastAsia="Calibri" w:cs="Arial"/>
                <w:sz w:val="18"/>
                <w:szCs w:val="18"/>
              </w:rPr>
            </w:pPr>
            <w:r w:rsidRPr="00AC2246">
              <w:rPr>
                <w:rFonts w:eastAsia="Calibri" w:cs="Arial"/>
                <w:sz w:val="18"/>
                <w:szCs w:val="18"/>
              </w:rPr>
              <w:t>30</w:t>
            </w:r>
            <w:r w:rsidR="00A95724" w:rsidRPr="00AC2246">
              <w:rPr>
                <w:rFonts w:eastAsia="Calibri" w:cs="Arial"/>
                <w:sz w:val="18"/>
                <w:szCs w:val="18"/>
              </w:rPr>
              <w:t xml:space="preserve"> / 0</w:t>
            </w:r>
          </w:p>
        </w:tc>
        <w:tc>
          <w:tcPr>
            <w:tcW w:w="1276" w:type="dxa"/>
            <w:shd w:val="clear" w:color="auto" w:fill="B6DDE8" w:themeFill="accent5" w:themeFillTint="66"/>
          </w:tcPr>
          <w:p w:rsidR="00A95724" w:rsidRPr="00AC2246" w:rsidRDefault="00A95724" w:rsidP="00440975">
            <w:pPr>
              <w:jc w:val="center"/>
              <w:rPr>
                <w:rFonts w:eastAsia="Calibri" w:cs="Arial"/>
                <w:sz w:val="18"/>
                <w:szCs w:val="18"/>
              </w:rPr>
            </w:pPr>
            <w:r w:rsidRPr="00AC2246">
              <w:rPr>
                <w:rFonts w:eastAsia="Calibri" w:cs="Arial"/>
                <w:sz w:val="18"/>
                <w:szCs w:val="18"/>
              </w:rPr>
              <w:t>100.0%</w:t>
            </w:r>
          </w:p>
        </w:tc>
        <w:tc>
          <w:tcPr>
            <w:tcW w:w="1275" w:type="dxa"/>
            <w:shd w:val="clear" w:color="auto" w:fill="B6DDE8" w:themeFill="accent5" w:themeFillTint="66"/>
          </w:tcPr>
          <w:p w:rsidR="00A95724" w:rsidRPr="00AC2246" w:rsidRDefault="00D75496" w:rsidP="00195079">
            <w:pPr>
              <w:jc w:val="center"/>
              <w:rPr>
                <w:rFonts w:eastAsia="Calibri" w:cs="Arial"/>
                <w:sz w:val="18"/>
                <w:szCs w:val="18"/>
              </w:rPr>
            </w:pPr>
            <w:r w:rsidRPr="00AC2246">
              <w:rPr>
                <w:rFonts w:eastAsia="Calibri" w:cs="Arial"/>
                <w:sz w:val="18"/>
                <w:szCs w:val="18"/>
              </w:rPr>
              <w:t>65</w:t>
            </w:r>
            <w:r w:rsidR="00467597">
              <w:rPr>
                <w:rFonts w:eastAsia="Calibri" w:cs="Arial"/>
                <w:sz w:val="18"/>
                <w:szCs w:val="18"/>
              </w:rPr>
              <w:t xml:space="preserve"> / 0</w:t>
            </w:r>
          </w:p>
        </w:tc>
        <w:tc>
          <w:tcPr>
            <w:tcW w:w="1276" w:type="dxa"/>
            <w:shd w:val="clear" w:color="auto" w:fill="B6DDE8" w:themeFill="accent5" w:themeFillTint="66"/>
          </w:tcPr>
          <w:p w:rsidR="00A95724" w:rsidRPr="00AC2246" w:rsidRDefault="00D75496" w:rsidP="00A843B0">
            <w:pPr>
              <w:jc w:val="center"/>
            </w:pPr>
            <w:r w:rsidRPr="00AC2246">
              <w:rPr>
                <w:rFonts w:eastAsia="Calibri" w:cs="Arial"/>
                <w:sz w:val="18"/>
                <w:szCs w:val="18"/>
              </w:rPr>
              <w:t>99.5</w:t>
            </w:r>
            <w:r w:rsidR="00A95724" w:rsidRPr="00AC2246">
              <w:rPr>
                <w:rFonts w:eastAsia="Calibri" w:cs="Arial"/>
                <w:sz w:val="18"/>
                <w:szCs w:val="18"/>
              </w:rPr>
              <w:t>%</w:t>
            </w:r>
          </w:p>
        </w:tc>
        <w:tc>
          <w:tcPr>
            <w:tcW w:w="1276" w:type="dxa"/>
            <w:shd w:val="clear" w:color="auto" w:fill="B6DDE8" w:themeFill="accent5" w:themeFillTint="66"/>
          </w:tcPr>
          <w:p w:rsidR="00A95724" w:rsidRPr="00AC2246" w:rsidRDefault="00D75496" w:rsidP="00D04ACD">
            <w:pPr>
              <w:jc w:val="center"/>
              <w:rPr>
                <w:rFonts w:eastAsia="Calibri" w:cs="Arial"/>
                <w:sz w:val="18"/>
                <w:szCs w:val="18"/>
              </w:rPr>
            </w:pPr>
            <w:r w:rsidRPr="00AC2246">
              <w:rPr>
                <w:rFonts w:eastAsia="Calibri" w:cs="Arial"/>
                <w:sz w:val="18"/>
                <w:szCs w:val="18"/>
              </w:rPr>
              <w:t>195 / 1</w:t>
            </w:r>
          </w:p>
        </w:tc>
      </w:tr>
      <w:tr w:rsidR="00A95724" w:rsidRPr="007E4D23" w:rsidTr="00CA4AFD">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sidRPr="006F1E39">
              <w:rPr>
                <w:rFonts w:eastAsia="Calibri" w:cs="Arial"/>
                <w:sz w:val="18"/>
                <w:szCs w:val="18"/>
              </w:rPr>
              <w:t>31 day subsequent radiotherapy (94%)</w:t>
            </w:r>
          </w:p>
        </w:tc>
        <w:tc>
          <w:tcPr>
            <w:tcW w:w="1417" w:type="dxa"/>
            <w:shd w:val="clear" w:color="auto" w:fill="B6DDE8" w:themeFill="accent5" w:themeFillTint="66"/>
          </w:tcPr>
          <w:p w:rsidR="00A95724" w:rsidRPr="00AC2246" w:rsidRDefault="00AC2246" w:rsidP="00A843B0">
            <w:pPr>
              <w:jc w:val="center"/>
            </w:pPr>
            <w:r w:rsidRPr="00C109C0">
              <w:rPr>
                <w:rFonts w:eastAsia="Calibri" w:cs="Arial"/>
                <w:color w:val="FF0000"/>
                <w:sz w:val="18"/>
                <w:szCs w:val="18"/>
              </w:rPr>
              <w:t>91.7</w:t>
            </w:r>
            <w:r w:rsidR="00A95724" w:rsidRPr="00C109C0">
              <w:rPr>
                <w:rFonts w:eastAsia="Calibri" w:cs="Arial"/>
                <w:color w:val="FF0000"/>
                <w:sz w:val="18"/>
                <w:szCs w:val="18"/>
              </w:rPr>
              <w:t>%</w:t>
            </w:r>
          </w:p>
        </w:tc>
        <w:tc>
          <w:tcPr>
            <w:tcW w:w="1418" w:type="dxa"/>
            <w:shd w:val="clear" w:color="auto" w:fill="B6DDE8" w:themeFill="accent5" w:themeFillTint="66"/>
          </w:tcPr>
          <w:p w:rsidR="00A95724" w:rsidRPr="00AC2246" w:rsidRDefault="00AC2246" w:rsidP="004B0D0F">
            <w:pPr>
              <w:jc w:val="center"/>
              <w:rPr>
                <w:rFonts w:eastAsia="Calibri" w:cs="Arial"/>
                <w:sz w:val="18"/>
                <w:szCs w:val="18"/>
              </w:rPr>
            </w:pPr>
            <w:r w:rsidRPr="00AC2246">
              <w:rPr>
                <w:rFonts w:eastAsia="Calibri" w:cs="Arial"/>
                <w:sz w:val="18"/>
                <w:szCs w:val="18"/>
              </w:rPr>
              <w:t>12 / 1</w:t>
            </w:r>
          </w:p>
        </w:tc>
        <w:tc>
          <w:tcPr>
            <w:tcW w:w="1276" w:type="dxa"/>
            <w:shd w:val="clear" w:color="auto" w:fill="B6DDE8" w:themeFill="accent5" w:themeFillTint="66"/>
          </w:tcPr>
          <w:p w:rsidR="00A95724" w:rsidRPr="00AC2246" w:rsidRDefault="00AC2246" w:rsidP="00440975">
            <w:pPr>
              <w:jc w:val="center"/>
              <w:rPr>
                <w:rFonts w:eastAsia="Calibri" w:cs="Arial"/>
                <w:sz w:val="18"/>
                <w:szCs w:val="18"/>
              </w:rPr>
            </w:pPr>
            <w:r w:rsidRPr="00C109C0">
              <w:rPr>
                <w:rFonts w:eastAsia="Calibri" w:cs="Arial"/>
                <w:color w:val="FF0000"/>
                <w:sz w:val="18"/>
                <w:szCs w:val="18"/>
              </w:rPr>
              <w:t>93.6%</w:t>
            </w:r>
          </w:p>
        </w:tc>
        <w:tc>
          <w:tcPr>
            <w:tcW w:w="1275" w:type="dxa"/>
            <w:shd w:val="clear" w:color="auto" w:fill="B6DDE8" w:themeFill="accent5" w:themeFillTint="66"/>
          </w:tcPr>
          <w:p w:rsidR="00A95724" w:rsidRPr="00AC2246" w:rsidRDefault="00A95724" w:rsidP="00AC2246">
            <w:pPr>
              <w:jc w:val="center"/>
              <w:rPr>
                <w:rFonts w:eastAsia="Calibri" w:cs="Arial"/>
                <w:sz w:val="18"/>
                <w:szCs w:val="18"/>
              </w:rPr>
            </w:pPr>
            <w:r w:rsidRPr="00AC2246">
              <w:rPr>
                <w:rFonts w:eastAsia="Calibri" w:cs="Arial"/>
                <w:sz w:val="18"/>
                <w:szCs w:val="18"/>
              </w:rPr>
              <w:t xml:space="preserve">47 / </w:t>
            </w:r>
            <w:r w:rsidR="00AC2246" w:rsidRPr="00AC2246">
              <w:rPr>
                <w:rFonts w:eastAsia="Calibri" w:cs="Arial"/>
                <w:sz w:val="18"/>
                <w:szCs w:val="18"/>
              </w:rPr>
              <w:t>3</w:t>
            </w:r>
          </w:p>
        </w:tc>
        <w:tc>
          <w:tcPr>
            <w:tcW w:w="1276" w:type="dxa"/>
            <w:shd w:val="clear" w:color="auto" w:fill="B6DDE8" w:themeFill="accent5" w:themeFillTint="66"/>
          </w:tcPr>
          <w:p w:rsidR="00A95724" w:rsidRPr="00AC2246" w:rsidRDefault="00B11A86" w:rsidP="00AC2246">
            <w:pPr>
              <w:jc w:val="center"/>
            </w:pPr>
            <w:r w:rsidRPr="00AC2246">
              <w:rPr>
                <w:rFonts w:eastAsia="Calibri" w:cs="Arial"/>
                <w:sz w:val="18"/>
                <w:szCs w:val="18"/>
              </w:rPr>
              <w:t>97.</w:t>
            </w:r>
            <w:r w:rsidR="00AC2246" w:rsidRPr="00AC2246">
              <w:rPr>
                <w:rFonts w:eastAsia="Calibri" w:cs="Arial"/>
                <w:sz w:val="18"/>
                <w:szCs w:val="18"/>
              </w:rPr>
              <w:t>3</w:t>
            </w:r>
            <w:r w:rsidR="00A95724" w:rsidRPr="00AC2246">
              <w:rPr>
                <w:rFonts w:eastAsia="Calibri" w:cs="Arial"/>
                <w:sz w:val="18"/>
                <w:szCs w:val="18"/>
              </w:rPr>
              <w:t>%</w:t>
            </w:r>
          </w:p>
        </w:tc>
        <w:tc>
          <w:tcPr>
            <w:tcW w:w="1276" w:type="dxa"/>
            <w:shd w:val="clear" w:color="auto" w:fill="B6DDE8" w:themeFill="accent5" w:themeFillTint="66"/>
          </w:tcPr>
          <w:p w:rsidR="00A95724" w:rsidRPr="00AC2246" w:rsidRDefault="00563953" w:rsidP="00AC2246">
            <w:pPr>
              <w:jc w:val="center"/>
              <w:rPr>
                <w:rFonts w:eastAsia="Calibri" w:cs="Arial"/>
                <w:sz w:val="18"/>
                <w:szCs w:val="18"/>
              </w:rPr>
            </w:pPr>
            <w:r w:rsidRPr="00AC2246">
              <w:rPr>
                <w:rFonts w:eastAsia="Calibri" w:cs="Arial"/>
                <w:sz w:val="18"/>
                <w:szCs w:val="18"/>
              </w:rPr>
              <w:t>2</w:t>
            </w:r>
            <w:r w:rsidR="00AC2246" w:rsidRPr="00AC2246">
              <w:rPr>
                <w:rFonts w:eastAsia="Calibri" w:cs="Arial"/>
                <w:sz w:val="18"/>
                <w:szCs w:val="18"/>
              </w:rPr>
              <w:t>24</w:t>
            </w:r>
            <w:r w:rsidR="00A95724" w:rsidRPr="00AC2246">
              <w:rPr>
                <w:rFonts w:eastAsia="Calibri" w:cs="Arial"/>
                <w:sz w:val="18"/>
                <w:szCs w:val="18"/>
              </w:rPr>
              <w:t xml:space="preserve"> / </w:t>
            </w:r>
            <w:r w:rsidR="00AC2246" w:rsidRPr="00AC2246">
              <w:rPr>
                <w:rFonts w:eastAsia="Calibri" w:cs="Arial"/>
                <w:sz w:val="18"/>
                <w:szCs w:val="18"/>
              </w:rPr>
              <w:t>6</w:t>
            </w:r>
          </w:p>
        </w:tc>
      </w:tr>
      <w:tr w:rsidR="00A95724" w:rsidRPr="007E4D23" w:rsidTr="00CA4AFD">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sidRPr="006F1E39">
              <w:rPr>
                <w:rFonts w:eastAsia="Calibri" w:cs="Arial"/>
                <w:sz w:val="18"/>
                <w:szCs w:val="18"/>
              </w:rPr>
              <w:t>62 day standard (85%)</w:t>
            </w:r>
          </w:p>
        </w:tc>
        <w:tc>
          <w:tcPr>
            <w:tcW w:w="1417" w:type="dxa"/>
            <w:shd w:val="clear" w:color="auto" w:fill="B6DDE8" w:themeFill="accent5" w:themeFillTint="66"/>
          </w:tcPr>
          <w:p w:rsidR="00A95724" w:rsidRPr="00C86D9C" w:rsidRDefault="00AC2246" w:rsidP="00A843B0">
            <w:pPr>
              <w:jc w:val="center"/>
            </w:pPr>
            <w:r w:rsidRPr="00C109C0">
              <w:rPr>
                <w:rFonts w:eastAsia="Calibri" w:cs="Arial"/>
                <w:color w:val="FF0000"/>
                <w:sz w:val="18"/>
                <w:szCs w:val="18"/>
              </w:rPr>
              <w:t>70.4</w:t>
            </w:r>
            <w:r w:rsidR="00A95724" w:rsidRPr="00C109C0">
              <w:rPr>
                <w:rFonts w:eastAsia="Calibri" w:cs="Arial"/>
                <w:color w:val="FF0000"/>
                <w:sz w:val="18"/>
                <w:szCs w:val="18"/>
              </w:rPr>
              <w:t>%</w:t>
            </w:r>
          </w:p>
        </w:tc>
        <w:tc>
          <w:tcPr>
            <w:tcW w:w="1418" w:type="dxa"/>
            <w:shd w:val="clear" w:color="auto" w:fill="B6DDE8" w:themeFill="accent5" w:themeFillTint="66"/>
          </w:tcPr>
          <w:p w:rsidR="00A95724" w:rsidRPr="00C86D9C" w:rsidRDefault="00AC2246" w:rsidP="00AC2246">
            <w:pPr>
              <w:jc w:val="center"/>
              <w:rPr>
                <w:rFonts w:eastAsia="Calibri" w:cs="Arial"/>
                <w:sz w:val="18"/>
                <w:szCs w:val="18"/>
              </w:rPr>
            </w:pPr>
            <w:r w:rsidRPr="00C86D9C">
              <w:rPr>
                <w:rFonts w:eastAsia="Calibri" w:cs="Arial"/>
                <w:sz w:val="18"/>
                <w:szCs w:val="18"/>
              </w:rPr>
              <w:t>27</w:t>
            </w:r>
            <w:r w:rsidR="00A95724" w:rsidRPr="00C86D9C">
              <w:rPr>
                <w:rFonts w:eastAsia="Calibri" w:cs="Arial"/>
                <w:sz w:val="18"/>
                <w:szCs w:val="18"/>
              </w:rPr>
              <w:t xml:space="preserve"> /</w:t>
            </w:r>
            <w:r w:rsidR="00A02964" w:rsidRPr="00C86D9C">
              <w:rPr>
                <w:rFonts w:eastAsia="Calibri" w:cs="Arial"/>
                <w:sz w:val="18"/>
                <w:szCs w:val="18"/>
              </w:rPr>
              <w:t xml:space="preserve"> </w:t>
            </w:r>
            <w:r w:rsidRPr="00C86D9C">
              <w:rPr>
                <w:rFonts w:eastAsia="Calibri" w:cs="Arial"/>
                <w:sz w:val="18"/>
                <w:szCs w:val="18"/>
              </w:rPr>
              <w:t>8</w:t>
            </w:r>
          </w:p>
        </w:tc>
        <w:tc>
          <w:tcPr>
            <w:tcW w:w="1276" w:type="dxa"/>
            <w:shd w:val="clear" w:color="auto" w:fill="B6DDE8" w:themeFill="accent5" w:themeFillTint="66"/>
          </w:tcPr>
          <w:p w:rsidR="00A95724" w:rsidRPr="00C86D9C" w:rsidRDefault="00AC2246" w:rsidP="00440975">
            <w:pPr>
              <w:jc w:val="center"/>
              <w:rPr>
                <w:rFonts w:eastAsia="Calibri" w:cs="Arial"/>
                <w:sz w:val="18"/>
                <w:szCs w:val="18"/>
              </w:rPr>
            </w:pPr>
            <w:r w:rsidRPr="00C109C0">
              <w:rPr>
                <w:rFonts w:eastAsia="Calibri" w:cs="Arial"/>
                <w:color w:val="FF0000"/>
                <w:sz w:val="18"/>
                <w:szCs w:val="18"/>
              </w:rPr>
              <w:t>80.77%</w:t>
            </w:r>
          </w:p>
        </w:tc>
        <w:tc>
          <w:tcPr>
            <w:tcW w:w="1275" w:type="dxa"/>
            <w:shd w:val="clear" w:color="auto" w:fill="B6DDE8" w:themeFill="accent5" w:themeFillTint="66"/>
          </w:tcPr>
          <w:p w:rsidR="00A95724" w:rsidRPr="00C86D9C" w:rsidRDefault="00AC2246" w:rsidP="00440975">
            <w:pPr>
              <w:jc w:val="center"/>
              <w:rPr>
                <w:rFonts w:eastAsia="Calibri" w:cs="Arial"/>
                <w:sz w:val="18"/>
                <w:szCs w:val="18"/>
              </w:rPr>
            </w:pPr>
            <w:r w:rsidRPr="00C86D9C">
              <w:rPr>
                <w:rFonts w:eastAsia="Calibri" w:cs="Arial"/>
                <w:sz w:val="18"/>
                <w:szCs w:val="18"/>
              </w:rPr>
              <w:t>78 / 15</w:t>
            </w:r>
          </w:p>
        </w:tc>
        <w:tc>
          <w:tcPr>
            <w:tcW w:w="1276" w:type="dxa"/>
            <w:shd w:val="clear" w:color="auto" w:fill="B6DDE8" w:themeFill="accent5" w:themeFillTint="66"/>
          </w:tcPr>
          <w:p w:rsidR="00A95724" w:rsidRPr="00C86D9C" w:rsidRDefault="005E728E" w:rsidP="00A843B0">
            <w:pPr>
              <w:jc w:val="center"/>
            </w:pPr>
            <w:r>
              <w:rPr>
                <w:rFonts w:eastAsia="Calibri" w:cs="Arial"/>
                <w:sz w:val="18"/>
                <w:szCs w:val="18"/>
              </w:rPr>
              <w:t>85.7</w:t>
            </w:r>
            <w:r w:rsidR="00A95724" w:rsidRPr="00C86D9C">
              <w:rPr>
                <w:rFonts w:eastAsia="Calibri" w:cs="Arial"/>
                <w:sz w:val="18"/>
                <w:szCs w:val="18"/>
              </w:rPr>
              <w:t>%</w:t>
            </w:r>
          </w:p>
        </w:tc>
        <w:tc>
          <w:tcPr>
            <w:tcW w:w="1276" w:type="dxa"/>
            <w:shd w:val="clear" w:color="auto" w:fill="B6DDE8" w:themeFill="accent5" w:themeFillTint="66"/>
          </w:tcPr>
          <w:p w:rsidR="00A95724" w:rsidRPr="00C86D9C" w:rsidRDefault="00AC2246" w:rsidP="001C6F8C">
            <w:pPr>
              <w:jc w:val="center"/>
              <w:rPr>
                <w:rFonts w:eastAsia="Calibri" w:cs="Arial"/>
                <w:sz w:val="18"/>
                <w:szCs w:val="18"/>
              </w:rPr>
            </w:pPr>
            <w:r w:rsidRPr="00C86D9C">
              <w:rPr>
                <w:rFonts w:eastAsia="Calibri" w:cs="Arial"/>
                <w:sz w:val="18"/>
                <w:szCs w:val="18"/>
              </w:rPr>
              <w:t>329 / 47</w:t>
            </w:r>
          </w:p>
        </w:tc>
      </w:tr>
      <w:tr w:rsidR="00A95724" w:rsidRPr="007E4D23" w:rsidTr="00CA4AFD">
        <w:tc>
          <w:tcPr>
            <w:tcW w:w="2093" w:type="dxa"/>
            <w:tcMar>
              <w:top w:w="0" w:type="dxa"/>
              <w:left w:w="108" w:type="dxa"/>
              <w:bottom w:w="0" w:type="dxa"/>
              <w:right w:w="108" w:type="dxa"/>
            </w:tcMar>
            <w:hideMark/>
          </w:tcPr>
          <w:p w:rsidR="00A95724" w:rsidRPr="004B0D0F" w:rsidRDefault="00A95724" w:rsidP="00BC41C8">
            <w:pPr>
              <w:rPr>
                <w:rFonts w:eastAsia="Calibri" w:cs="Arial"/>
                <w:sz w:val="18"/>
                <w:szCs w:val="18"/>
              </w:rPr>
            </w:pPr>
            <w:r w:rsidRPr="004B0D0F">
              <w:rPr>
                <w:rFonts w:eastAsia="Calibri" w:cs="Arial"/>
                <w:sz w:val="18"/>
                <w:szCs w:val="18"/>
              </w:rPr>
              <w:t>62 screening (90%)</w:t>
            </w:r>
          </w:p>
        </w:tc>
        <w:tc>
          <w:tcPr>
            <w:tcW w:w="1417" w:type="dxa"/>
            <w:shd w:val="clear" w:color="auto" w:fill="B6DDE8" w:themeFill="accent5" w:themeFillTint="66"/>
          </w:tcPr>
          <w:p w:rsidR="00A95724" w:rsidRPr="000E7134" w:rsidRDefault="00C86D9C" w:rsidP="00A843B0">
            <w:pPr>
              <w:jc w:val="center"/>
            </w:pPr>
            <w:r w:rsidRPr="000E7134">
              <w:rPr>
                <w:rFonts w:eastAsia="Calibri" w:cs="Arial"/>
                <w:sz w:val="18"/>
                <w:szCs w:val="18"/>
              </w:rPr>
              <w:t>No data</w:t>
            </w:r>
          </w:p>
        </w:tc>
        <w:tc>
          <w:tcPr>
            <w:tcW w:w="1418" w:type="dxa"/>
            <w:shd w:val="clear" w:color="auto" w:fill="B6DDE8" w:themeFill="accent5" w:themeFillTint="66"/>
          </w:tcPr>
          <w:p w:rsidR="00A95724" w:rsidRPr="000E7134" w:rsidRDefault="00C86D9C" w:rsidP="0094199A">
            <w:pPr>
              <w:jc w:val="center"/>
              <w:rPr>
                <w:rFonts w:eastAsia="Calibri" w:cs="Arial"/>
                <w:sz w:val="18"/>
                <w:szCs w:val="18"/>
              </w:rPr>
            </w:pPr>
            <w:r w:rsidRPr="000E7134">
              <w:rPr>
                <w:rFonts w:eastAsia="Calibri" w:cs="Arial"/>
                <w:sz w:val="18"/>
                <w:szCs w:val="18"/>
              </w:rPr>
              <w:t>No data</w:t>
            </w:r>
          </w:p>
        </w:tc>
        <w:tc>
          <w:tcPr>
            <w:tcW w:w="1276" w:type="dxa"/>
            <w:shd w:val="clear" w:color="auto" w:fill="B6DDE8" w:themeFill="accent5" w:themeFillTint="66"/>
          </w:tcPr>
          <w:p w:rsidR="00A95724" w:rsidRPr="000E7134" w:rsidRDefault="00A95724" w:rsidP="00440975">
            <w:pPr>
              <w:jc w:val="center"/>
              <w:rPr>
                <w:rFonts w:eastAsia="Calibri" w:cs="Arial"/>
                <w:sz w:val="18"/>
                <w:szCs w:val="18"/>
              </w:rPr>
            </w:pPr>
            <w:r w:rsidRPr="000E7134">
              <w:rPr>
                <w:rFonts w:eastAsia="Calibri" w:cs="Arial"/>
                <w:sz w:val="18"/>
                <w:szCs w:val="18"/>
              </w:rPr>
              <w:t>100.0%</w:t>
            </w:r>
          </w:p>
        </w:tc>
        <w:tc>
          <w:tcPr>
            <w:tcW w:w="1275" w:type="dxa"/>
            <w:shd w:val="clear" w:color="auto" w:fill="B6DDE8" w:themeFill="accent5" w:themeFillTint="66"/>
          </w:tcPr>
          <w:p w:rsidR="00A95724" w:rsidRPr="000E7134" w:rsidRDefault="00C86D9C" w:rsidP="004E093A">
            <w:pPr>
              <w:jc w:val="center"/>
              <w:rPr>
                <w:rFonts w:eastAsia="Calibri" w:cs="Arial"/>
                <w:sz w:val="18"/>
                <w:szCs w:val="18"/>
              </w:rPr>
            </w:pPr>
            <w:r w:rsidRPr="000E7134">
              <w:rPr>
                <w:rFonts w:eastAsia="Calibri" w:cs="Arial"/>
                <w:sz w:val="18"/>
                <w:szCs w:val="18"/>
              </w:rPr>
              <w:t xml:space="preserve">3 </w:t>
            </w:r>
            <w:r w:rsidR="00A95724" w:rsidRPr="000E7134">
              <w:rPr>
                <w:rFonts w:eastAsia="Calibri" w:cs="Arial"/>
                <w:sz w:val="18"/>
                <w:szCs w:val="18"/>
              </w:rPr>
              <w:t xml:space="preserve"> / 0</w:t>
            </w:r>
          </w:p>
        </w:tc>
        <w:tc>
          <w:tcPr>
            <w:tcW w:w="1276" w:type="dxa"/>
            <w:shd w:val="clear" w:color="auto" w:fill="B6DDE8" w:themeFill="accent5" w:themeFillTint="66"/>
          </w:tcPr>
          <w:p w:rsidR="00A95724" w:rsidRPr="000E7134" w:rsidRDefault="00C86D9C" w:rsidP="00A843B0">
            <w:pPr>
              <w:jc w:val="center"/>
            </w:pPr>
            <w:r w:rsidRPr="000E7134">
              <w:rPr>
                <w:rFonts w:eastAsia="Calibri" w:cs="Arial"/>
                <w:sz w:val="18"/>
                <w:szCs w:val="18"/>
              </w:rPr>
              <w:t>92.9</w:t>
            </w:r>
            <w:r w:rsidR="00A95724" w:rsidRPr="000E7134">
              <w:rPr>
                <w:rFonts w:eastAsia="Calibri" w:cs="Arial"/>
                <w:sz w:val="18"/>
                <w:szCs w:val="18"/>
              </w:rPr>
              <w:t>%</w:t>
            </w:r>
          </w:p>
        </w:tc>
        <w:tc>
          <w:tcPr>
            <w:tcW w:w="1276" w:type="dxa"/>
            <w:shd w:val="clear" w:color="auto" w:fill="B6DDE8" w:themeFill="accent5" w:themeFillTint="66"/>
          </w:tcPr>
          <w:p w:rsidR="00A95724" w:rsidRPr="000E7134" w:rsidRDefault="00C86D9C" w:rsidP="00440975">
            <w:pPr>
              <w:jc w:val="center"/>
              <w:rPr>
                <w:rFonts w:eastAsia="Calibri" w:cs="Arial"/>
                <w:sz w:val="18"/>
                <w:szCs w:val="18"/>
              </w:rPr>
            </w:pPr>
            <w:r w:rsidRPr="000E7134">
              <w:rPr>
                <w:rFonts w:eastAsia="Calibri" w:cs="Arial"/>
                <w:sz w:val="18"/>
                <w:szCs w:val="18"/>
              </w:rPr>
              <w:t>42 / 3</w:t>
            </w:r>
          </w:p>
        </w:tc>
      </w:tr>
      <w:tr w:rsidR="00A95724" w:rsidRPr="007E4D23" w:rsidTr="00CA4AFD">
        <w:trPr>
          <w:trHeight w:val="315"/>
        </w:trPr>
        <w:tc>
          <w:tcPr>
            <w:tcW w:w="2093" w:type="dxa"/>
            <w:tcMar>
              <w:top w:w="0" w:type="dxa"/>
              <w:left w:w="108" w:type="dxa"/>
              <w:bottom w:w="0" w:type="dxa"/>
              <w:right w:w="108" w:type="dxa"/>
            </w:tcMar>
            <w:hideMark/>
          </w:tcPr>
          <w:p w:rsidR="00A95724" w:rsidRPr="006F1E39" w:rsidRDefault="00A95724" w:rsidP="00BC41C8">
            <w:pPr>
              <w:rPr>
                <w:rFonts w:eastAsia="Calibri" w:cs="Arial"/>
                <w:sz w:val="18"/>
                <w:szCs w:val="18"/>
              </w:rPr>
            </w:pPr>
            <w:r w:rsidRPr="006F1E39">
              <w:rPr>
                <w:rFonts w:eastAsia="Calibri" w:cs="Arial"/>
                <w:sz w:val="18"/>
                <w:szCs w:val="18"/>
              </w:rPr>
              <w:t>62 consultant upgrade (86%)</w:t>
            </w:r>
          </w:p>
        </w:tc>
        <w:tc>
          <w:tcPr>
            <w:tcW w:w="1417" w:type="dxa"/>
            <w:shd w:val="clear" w:color="auto" w:fill="B6DDE8" w:themeFill="accent5" w:themeFillTint="66"/>
          </w:tcPr>
          <w:p w:rsidR="00A95724" w:rsidRPr="000E7134" w:rsidRDefault="00467597" w:rsidP="00A843B0">
            <w:pPr>
              <w:jc w:val="center"/>
            </w:pPr>
            <w:r>
              <w:rPr>
                <w:rFonts w:eastAsia="Calibri" w:cs="Arial"/>
                <w:sz w:val="18"/>
                <w:szCs w:val="18"/>
              </w:rPr>
              <w:t>80.0</w:t>
            </w:r>
            <w:r w:rsidR="00A95724" w:rsidRPr="000E7134">
              <w:rPr>
                <w:rFonts w:eastAsia="Calibri" w:cs="Arial"/>
                <w:sz w:val="18"/>
                <w:szCs w:val="18"/>
              </w:rPr>
              <w:t>%</w:t>
            </w:r>
          </w:p>
        </w:tc>
        <w:tc>
          <w:tcPr>
            <w:tcW w:w="1418" w:type="dxa"/>
            <w:shd w:val="clear" w:color="auto" w:fill="B6DDE8" w:themeFill="accent5" w:themeFillTint="66"/>
          </w:tcPr>
          <w:p w:rsidR="00A95724" w:rsidRPr="000E7134" w:rsidRDefault="00C86D9C" w:rsidP="00A02964">
            <w:pPr>
              <w:jc w:val="center"/>
              <w:rPr>
                <w:rFonts w:eastAsia="Calibri" w:cs="Arial"/>
                <w:sz w:val="18"/>
                <w:szCs w:val="18"/>
              </w:rPr>
            </w:pPr>
            <w:r w:rsidRPr="000E7134">
              <w:rPr>
                <w:rFonts w:eastAsia="Calibri" w:cs="Arial"/>
                <w:sz w:val="18"/>
                <w:szCs w:val="18"/>
              </w:rPr>
              <w:t>15</w:t>
            </w:r>
            <w:r w:rsidR="00A95724" w:rsidRPr="000E7134">
              <w:rPr>
                <w:rFonts w:eastAsia="Calibri" w:cs="Arial"/>
                <w:sz w:val="18"/>
                <w:szCs w:val="18"/>
              </w:rPr>
              <w:t xml:space="preserve"> / </w:t>
            </w:r>
            <w:r w:rsidRPr="000E7134">
              <w:rPr>
                <w:rFonts w:eastAsia="Calibri" w:cs="Arial"/>
                <w:sz w:val="18"/>
                <w:szCs w:val="18"/>
              </w:rPr>
              <w:t>3</w:t>
            </w:r>
          </w:p>
        </w:tc>
        <w:tc>
          <w:tcPr>
            <w:tcW w:w="1276" w:type="dxa"/>
            <w:shd w:val="clear" w:color="auto" w:fill="B6DDE8" w:themeFill="accent5" w:themeFillTint="66"/>
          </w:tcPr>
          <w:p w:rsidR="00A95724" w:rsidRPr="000E7134" w:rsidRDefault="00C86D9C" w:rsidP="00440975">
            <w:pPr>
              <w:jc w:val="center"/>
              <w:rPr>
                <w:rFonts w:eastAsia="Calibri" w:cs="Arial"/>
                <w:sz w:val="18"/>
                <w:szCs w:val="18"/>
              </w:rPr>
            </w:pPr>
            <w:r w:rsidRPr="000E7134">
              <w:rPr>
                <w:rFonts w:eastAsia="Calibri" w:cs="Arial"/>
                <w:sz w:val="18"/>
                <w:szCs w:val="18"/>
              </w:rPr>
              <w:t>83.7%</w:t>
            </w:r>
          </w:p>
        </w:tc>
        <w:tc>
          <w:tcPr>
            <w:tcW w:w="1275" w:type="dxa"/>
            <w:shd w:val="clear" w:color="auto" w:fill="B6DDE8" w:themeFill="accent5" w:themeFillTint="66"/>
          </w:tcPr>
          <w:p w:rsidR="00A95724" w:rsidRPr="000E7134" w:rsidRDefault="00C86D9C" w:rsidP="004E093A">
            <w:pPr>
              <w:jc w:val="center"/>
              <w:rPr>
                <w:rFonts w:eastAsia="Calibri" w:cs="Arial"/>
                <w:sz w:val="18"/>
                <w:szCs w:val="18"/>
              </w:rPr>
            </w:pPr>
            <w:r w:rsidRPr="000E7134">
              <w:rPr>
                <w:rFonts w:eastAsia="Calibri" w:cs="Arial"/>
                <w:sz w:val="18"/>
                <w:szCs w:val="18"/>
              </w:rPr>
              <w:t>43 / 7</w:t>
            </w:r>
          </w:p>
        </w:tc>
        <w:tc>
          <w:tcPr>
            <w:tcW w:w="1276" w:type="dxa"/>
            <w:shd w:val="clear" w:color="auto" w:fill="B6DDE8" w:themeFill="accent5" w:themeFillTint="66"/>
          </w:tcPr>
          <w:p w:rsidR="00A95724" w:rsidRPr="000E7134" w:rsidRDefault="00C86D9C" w:rsidP="00A843B0">
            <w:pPr>
              <w:jc w:val="center"/>
            </w:pPr>
            <w:r w:rsidRPr="000E7134">
              <w:rPr>
                <w:rFonts w:eastAsia="Calibri" w:cs="Arial"/>
                <w:sz w:val="18"/>
                <w:szCs w:val="18"/>
              </w:rPr>
              <w:t>94.3%</w:t>
            </w:r>
          </w:p>
        </w:tc>
        <w:tc>
          <w:tcPr>
            <w:tcW w:w="1276" w:type="dxa"/>
            <w:shd w:val="clear" w:color="auto" w:fill="B6DDE8" w:themeFill="accent5" w:themeFillTint="66"/>
          </w:tcPr>
          <w:p w:rsidR="00A95724" w:rsidRPr="000E7134" w:rsidRDefault="00C86D9C" w:rsidP="00563953">
            <w:pPr>
              <w:jc w:val="center"/>
              <w:rPr>
                <w:rFonts w:eastAsia="Calibri" w:cs="Arial"/>
                <w:sz w:val="18"/>
                <w:szCs w:val="18"/>
              </w:rPr>
            </w:pPr>
            <w:r w:rsidRPr="000E7134">
              <w:rPr>
                <w:rFonts w:eastAsia="Calibri" w:cs="Arial"/>
                <w:sz w:val="18"/>
                <w:szCs w:val="18"/>
              </w:rPr>
              <w:t>140 / 8</w:t>
            </w:r>
          </w:p>
        </w:tc>
      </w:tr>
    </w:tbl>
    <w:p w:rsidR="004A5F9B" w:rsidRDefault="004A5F9B" w:rsidP="00247638">
      <w:pPr>
        <w:jc w:val="center"/>
        <w:rPr>
          <w:b/>
        </w:rPr>
      </w:pPr>
    </w:p>
    <w:p w:rsidR="00247638" w:rsidRPr="00247638" w:rsidRDefault="008857CA" w:rsidP="00247638">
      <w:pPr>
        <w:jc w:val="center"/>
        <w:rPr>
          <w:b/>
        </w:rPr>
      </w:pPr>
      <w:r>
        <w:rPr>
          <w:b/>
        </w:rPr>
        <w:t>East Lancashire Hospital NHS Trust (</w:t>
      </w:r>
      <w:r w:rsidR="00247638" w:rsidRPr="00247638">
        <w:rPr>
          <w:b/>
        </w:rPr>
        <w:t>ELHT</w:t>
      </w:r>
      <w:r>
        <w:rPr>
          <w:b/>
        </w:rPr>
        <w:t>)</w:t>
      </w:r>
    </w:p>
    <w:p w:rsidR="00247638" w:rsidRDefault="00247638"/>
    <w:tbl>
      <w:tblPr>
        <w:tblW w:w="100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093"/>
        <w:gridCol w:w="1417"/>
        <w:gridCol w:w="1276"/>
        <w:gridCol w:w="1418"/>
        <w:gridCol w:w="1417"/>
        <w:gridCol w:w="1134"/>
        <w:gridCol w:w="1276"/>
      </w:tblGrid>
      <w:tr w:rsidR="00247638" w:rsidTr="00440975">
        <w:trPr>
          <w:trHeight w:val="771"/>
        </w:trPr>
        <w:tc>
          <w:tcPr>
            <w:tcW w:w="2093" w:type="dxa"/>
            <w:shd w:val="clear" w:color="auto" w:fill="D9D9D9" w:themeFill="background1" w:themeFillShade="D9"/>
            <w:tcMar>
              <w:top w:w="0" w:type="dxa"/>
              <w:left w:w="108" w:type="dxa"/>
              <w:bottom w:w="0" w:type="dxa"/>
              <w:right w:w="108" w:type="dxa"/>
            </w:tcMar>
            <w:hideMark/>
          </w:tcPr>
          <w:p w:rsidR="00247638" w:rsidRPr="00A92BB4" w:rsidRDefault="00247638" w:rsidP="00440975">
            <w:pPr>
              <w:rPr>
                <w:rFonts w:eastAsia="Calibri" w:cs="Arial"/>
                <w:sz w:val="18"/>
                <w:szCs w:val="18"/>
              </w:rPr>
            </w:pPr>
            <w:r w:rsidRPr="00A92BB4">
              <w:rPr>
                <w:rFonts w:eastAsia="Calibri" w:cs="Arial"/>
                <w:sz w:val="18"/>
                <w:szCs w:val="18"/>
              </w:rPr>
              <w:t>Standard (target)</w:t>
            </w:r>
          </w:p>
        </w:tc>
        <w:tc>
          <w:tcPr>
            <w:tcW w:w="1417" w:type="dxa"/>
            <w:shd w:val="clear" w:color="auto" w:fill="B6DDE8" w:themeFill="accent5" w:themeFillTint="66"/>
          </w:tcPr>
          <w:p w:rsidR="00247638" w:rsidRPr="00A92BB4" w:rsidRDefault="007D08EB" w:rsidP="00440975">
            <w:pPr>
              <w:jc w:val="center"/>
              <w:rPr>
                <w:rFonts w:eastAsia="Calibri" w:cs="Arial"/>
                <w:sz w:val="18"/>
                <w:szCs w:val="18"/>
              </w:rPr>
            </w:pPr>
            <w:r>
              <w:rPr>
                <w:rFonts w:eastAsia="Calibri" w:cs="Arial"/>
                <w:sz w:val="18"/>
                <w:szCs w:val="18"/>
              </w:rPr>
              <w:t>March</w:t>
            </w:r>
            <w:r w:rsidR="00247638">
              <w:rPr>
                <w:rFonts w:eastAsia="Calibri" w:cs="Arial"/>
                <w:sz w:val="18"/>
                <w:szCs w:val="18"/>
              </w:rPr>
              <w:t xml:space="preserve"> </w:t>
            </w:r>
            <w:r w:rsidR="00247638" w:rsidRPr="00A92BB4">
              <w:rPr>
                <w:rFonts w:eastAsia="Calibri" w:cs="Arial"/>
                <w:sz w:val="18"/>
                <w:szCs w:val="18"/>
              </w:rPr>
              <w:t>performance</w:t>
            </w:r>
          </w:p>
        </w:tc>
        <w:tc>
          <w:tcPr>
            <w:tcW w:w="1276" w:type="dxa"/>
            <w:shd w:val="clear" w:color="auto" w:fill="B6DDE8" w:themeFill="accent5" w:themeFillTint="66"/>
          </w:tcPr>
          <w:p w:rsidR="00247638" w:rsidRPr="00A92BB4" w:rsidRDefault="007D08EB" w:rsidP="00440975">
            <w:pPr>
              <w:jc w:val="center"/>
              <w:rPr>
                <w:rFonts w:eastAsia="Calibri" w:cs="Arial"/>
                <w:sz w:val="18"/>
                <w:szCs w:val="18"/>
              </w:rPr>
            </w:pPr>
            <w:r>
              <w:rPr>
                <w:rFonts w:eastAsia="Calibri" w:cs="Arial"/>
                <w:sz w:val="18"/>
                <w:szCs w:val="18"/>
              </w:rPr>
              <w:t>March</w:t>
            </w:r>
            <w:r w:rsidR="00247638" w:rsidRPr="00A92BB4">
              <w:rPr>
                <w:rFonts w:eastAsia="Calibri" w:cs="Arial"/>
                <w:sz w:val="18"/>
                <w:szCs w:val="18"/>
              </w:rPr>
              <w:t xml:space="preserve"> activity / breaches</w:t>
            </w:r>
          </w:p>
        </w:tc>
        <w:tc>
          <w:tcPr>
            <w:tcW w:w="1418" w:type="dxa"/>
            <w:shd w:val="clear" w:color="auto" w:fill="B6DDE8" w:themeFill="accent5" w:themeFillTint="66"/>
          </w:tcPr>
          <w:p w:rsidR="00247638" w:rsidRPr="00A92BB4" w:rsidRDefault="007D08EB" w:rsidP="00440975">
            <w:pPr>
              <w:jc w:val="center"/>
              <w:rPr>
                <w:rFonts w:eastAsia="Calibri" w:cs="Arial"/>
                <w:sz w:val="18"/>
                <w:szCs w:val="18"/>
              </w:rPr>
            </w:pPr>
            <w:r>
              <w:rPr>
                <w:rFonts w:eastAsia="Calibri" w:cs="Arial"/>
                <w:sz w:val="18"/>
                <w:szCs w:val="18"/>
              </w:rPr>
              <w:t>Quarter 4</w:t>
            </w:r>
            <w:r w:rsidR="00247638" w:rsidRPr="00A92BB4">
              <w:rPr>
                <w:rFonts w:eastAsia="Calibri" w:cs="Arial"/>
                <w:sz w:val="18"/>
                <w:szCs w:val="18"/>
              </w:rPr>
              <w:t xml:space="preserve"> Performance</w:t>
            </w:r>
          </w:p>
        </w:tc>
        <w:tc>
          <w:tcPr>
            <w:tcW w:w="1417" w:type="dxa"/>
            <w:shd w:val="clear" w:color="auto" w:fill="B6DDE8" w:themeFill="accent5" w:themeFillTint="66"/>
          </w:tcPr>
          <w:p w:rsidR="00247638" w:rsidRPr="00A92BB4" w:rsidRDefault="006B1E9A" w:rsidP="00440975">
            <w:pPr>
              <w:jc w:val="center"/>
              <w:rPr>
                <w:rFonts w:eastAsia="Calibri" w:cs="Arial"/>
                <w:sz w:val="18"/>
                <w:szCs w:val="18"/>
              </w:rPr>
            </w:pPr>
            <w:r>
              <w:rPr>
                <w:rFonts w:eastAsia="Calibri" w:cs="Arial"/>
                <w:sz w:val="18"/>
                <w:szCs w:val="18"/>
              </w:rPr>
              <w:t xml:space="preserve">Quarter </w:t>
            </w:r>
            <w:r w:rsidR="007D08EB">
              <w:rPr>
                <w:rFonts w:eastAsia="Calibri" w:cs="Arial"/>
                <w:sz w:val="18"/>
                <w:szCs w:val="18"/>
              </w:rPr>
              <w:t>4</w:t>
            </w:r>
            <w:r w:rsidR="00247638">
              <w:rPr>
                <w:rFonts w:eastAsia="Calibri" w:cs="Arial"/>
                <w:sz w:val="18"/>
                <w:szCs w:val="18"/>
              </w:rPr>
              <w:t xml:space="preserve"> </w:t>
            </w:r>
            <w:r w:rsidR="00247638" w:rsidRPr="00A92BB4">
              <w:rPr>
                <w:rFonts w:eastAsia="Calibri" w:cs="Arial"/>
                <w:sz w:val="18"/>
                <w:szCs w:val="18"/>
              </w:rPr>
              <w:t xml:space="preserve"> Activity / breaches</w:t>
            </w:r>
          </w:p>
        </w:tc>
        <w:tc>
          <w:tcPr>
            <w:tcW w:w="1134" w:type="dxa"/>
            <w:shd w:val="clear" w:color="auto" w:fill="B6DDE8" w:themeFill="accent5" w:themeFillTint="66"/>
          </w:tcPr>
          <w:p w:rsidR="00247638" w:rsidRDefault="007D08EB" w:rsidP="007D08EB">
            <w:pPr>
              <w:jc w:val="center"/>
              <w:rPr>
                <w:rFonts w:eastAsia="Calibri" w:cs="Arial"/>
                <w:sz w:val="18"/>
                <w:szCs w:val="18"/>
              </w:rPr>
            </w:pPr>
            <w:r>
              <w:rPr>
                <w:rFonts w:eastAsia="Calibri" w:cs="Arial"/>
                <w:sz w:val="18"/>
                <w:szCs w:val="18"/>
              </w:rPr>
              <w:t xml:space="preserve">Full </w:t>
            </w:r>
            <w:r w:rsidR="00247638">
              <w:rPr>
                <w:rFonts w:eastAsia="Calibri" w:cs="Arial"/>
                <w:sz w:val="18"/>
                <w:szCs w:val="18"/>
              </w:rPr>
              <w:t>Y</w:t>
            </w:r>
            <w:r>
              <w:rPr>
                <w:rFonts w:eastAsia="Calibri" w:cs="Arial"/>
                <w:sz w:val="18"/>
                <w:szCs w:val="18"/>
              </w:rPr>
              <w:t xml:space="preserve">ear </w:t>
            </w:r>
            <w:r w:rsidR="00247638">
              <w:rPr>
                <w:rFonts w:eastAsia="Calibri" w:cs="Arial"/>
                <w:sz w:val="18"/>
                <w:szCs w:val="18"/>
              </w:rPr>
              <w:t xml:space="preserve"> performance</w:t>
            </w:r>
          </w:p>
        </w:tc>
        <w:tc>
          <w:tcPr>
            <w:tcW w:w="1276" w:type="dxa"/>
            <w:shd w:val="clear" w:color="auto" w:fill="B6DDE8" w:themeFill="accent5" w:themeFillTint="66"/>
          </w:tcPr>
          <w:p w:rsidR="00247638" w:rsidRDefault="007D08EB" w:rsidP="007D08EB">
            <w:pPr>
              <w:jc w:val="center"/>
              <w:rPr>
                <w:rFonts w:eastAsia="Calibri" w:cs="Arial"/>
                <w:sz w:val="18"/>
                <w:szCs w:val="18"/>
              </w:rPr>
            </w:pPr>
            <w:r>
              <w:rPr>
                <w:rFonts w:eastAsia="Calibri" w:cs="Arial"/>
                <w:sz w:val="18"/>
                <w:szCs w:val="18"/>
              </w:rPr>
              <w:t>Full Year</w:t>
            </w:r>
            <w:r w:rsidR="00247638">
              <w:rPr>
                <w:rFonts w:eastAsia="Calibri" w:cs="Arial"/>
                <w:sz w:val="18"/>
                <w:szCs w:val="18"/>
              </w:rPr>
              <w:t xml:space="preserve"> Activity / breaches</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14 day (93%)</w:t>
            </w:r>
          </w:p>
        </w:tc>
        <w:tc>
          <w:tcPr>
            <w:tcW w:w="1417" w:type="dxa"/>
            <w:shd w:val="clear" w:color="auto" w:fill="B6DDE8" w:themeFill="accent5" w:themeFillTint="66"/>
          </w:tcPr>
          <w:p w:rsidR="00A160E0" w:rsidRPr="00A92BB4" w:rsidRDefault="007D08EB" w:rsidP="00A843B0">
            <w:pPr>
              <w:jc w:val="center"/>
              <w:rPr>
                <w:rFonts w:eastAsia="Calibri" w:cs="Arial"/>
                <w:sz w:val="18"/>
                <w:szCs w:val="18"/>
              </w:rPr>
            </w:pPr>
            <w:r>
              <w:rPr>
                <w:rFonts w:eastAsia="Calibri" w:cs="Arial"/>
                <w:sz w:val="18"/>
                <w:szCs w:val="18"/>
              </w:rPr>
              <w:t>95.6</w:t>
            </w:r>
            <w:r w:rsidR="00A160E0">
              <w:rPr>
                <w:rFonts w:eastAsia="Calibri" w:cs="Arial"/>
                <w:sz w:val="18"/>
                <w:szCs w:val="18"/>
              </w:rPr>
              <w:t>%</w:t>
            </w:r>
          </w:p>
        </w:tc>
        <w:tc>
          <w:tcPr>
            <w:tcW w:w="1276" w:type="dxa"/>
            <w:shd w:val="clear" w:color="auto" w:fill="B6DDE8" w:themeFill="accent5" w:themeFillTint="66"/>
          </w:tcPr>
          <w:p w:rsidR="00A160E0" w:rsidRPr="00B019B4" w:rsidRDefault="00A47856" w:rsidP="00BF0AD0">
            <w:pPr>
              <w:jc w:val="center"/>
              <w:rPr>
                <w:rFonts w:eastAsia="Calibri" w:cs="Arial"/>
                <w:sz w:val="18"/>
                <w:szCs w:val="18"/>
              </w:rPr>
            </w:pPr>
            <w:r>
              <w:rPr>
                <w:rFonts w:eastAsia="Calibri" w:cs="Arial"/>
                <w:sz w:val="18"/>
                <w:szCs w:val="18"/>
              </w:rPr>
              <w:t>1.288</w:t>
            </w:r>
            <w:r w:rsidR="00A160E0" w:rsidRPr="00B019B4">
              <w:rPr>
                <w:rFonts w:eastAsia="Calibri" w:cs="Arial"/>
                <w:sz w:val="18"/>
                <w:szCs w:val="18"/>
              </w:rPr>
              <w:t xml:space="preserve"> / </w:t>
            </w:r>
            <w:r>
              <w:rPr>
                <w:rFonts w:eastAsia="Calibri" w:cs="Arial"/>
                <w:sz w:val="18"/>
                <w:szCs w:val="18"/>
              </w:rPr>
              <w:t>57</w:t>
            </w:r>
          </w:p>
        </w:tc>
        <w:tc>
          <w:tcPr>
            <w:tcW w:w="1418" w:type="dxa"/>
            <w:shd w:val="clear" w:color="auto" w:fill="B6DDE8" w:themeFill="accent5" w:themeFillTint="66"/>
          </w:tcPr>
          <w:p w:rsidR="00A160E0" w:rsidRPr="00D41BB8" w:rsidRDefault="006B1E9A" w:rsidP="00440975">
            <w:pPr>
              <w:jc w:val="center"/>
              <w:rPr>
                <w:rFonts w:eastAsia="Calibri" w:cs="Arial"/>
                <w:sz w:val="18"/>
                <w:szCs w:val="18"/>
              </w:rPr>
            </w:pPr>
            <w:r>
              <w:rPr>
                <w:rFonts w:eastAsia="Calibri" w:cs="Arial"/>
                <w:sz w:val="18"/>
                <w:szCs w:val="18"/>
              </w:rPr>
              <w:t>96.1</w:t>
            </w:r>
            <w:r w:rsidR="00A160E0" w:rsidRPr="00D41BB8">
              <w:rPr>
                <w:rFonts w:eastAsia="Calibri" w:cs="Arial"/>
                <w:sz w:val="18"/>
                <w:szCs w:val="18"/>
              </w:rPr>
              <w:t>%</w:t>
            </w:r>
          </w:p>
        </w:tc>
        <w:tc>
          <w:tcPr>
            <w:tcW w:w="1417" w:type="dxa"/>
            <w:shd w:val="clear" w:color="auto" w:fill="B6DDE8" w:themeFill="accent5" w:themeFillTint="66"/>
          </w:tcPr>
          <w:p w:rsidR="00A160E0" w:rsidRPr="00D41BB8" w:rsidRDefault="006B1E9A" w:rsidP="006B1E9A">
            <w:pPr>
              <w:jc w:val="center"/>
              <w:rPr>
                <w:rFonts w:eastAsia="Calibri" w:cs="Arial"/>
                <w:sz w:val="18"/>
                <w:szCs w:val="18"/>
              </w:rPr>
            </w:pPr>
            <w:r>
              <w:rPr>
                <w:rFonts w:eastAsia="Calibri" w:cs="Arial"/>
                <w:sz w:val="18"/>
                <w:szCs w:val="18"/>
              </w:rPr>
              <w:t>3,651</w:t>
            </w:r>
            <w:r w:rsidR="00A160E0" w:rsidRPr="00D41BB8">
              <w:rPr>
                <w:rFonts w:eastAsia="Calibri" w:cs="Arial"/>
                <w:sz w:val="18"/>
                <w:szCs w:val="18"/>
              </w:rPr>
              <w:t xml:space="preserve"> / 1</w:t>
            </w:r>
            <w:r>
              <w:rPr>
                <w:rFonts w:eastAsia="Calibri" w:cs="Arial"/>
                <w:sz w:val="18"/>
                <w:szCs w:val="18"/>
              </w:rPr>
              <w:t>41</w:t>
            </w:r>
          </w:p>
        </w:tc>
        <w:tc>
          <w:tcPr>
            <w:tcW w:w="1134" w:type="dxa"/>
            <w:shd w:val="clear" w:color="auto" w:fill="B6DDE8" w:themeFill="accent5" w:themeFillTint="66"/>
          </w:tcPr>
          <w:p w:rsidR="00A160E0" w:rsidRPr="00A92BB4" w:rsidRDefault="006B1E9A" w:rsidP="00A843B0">
            <w:pPr>
              <w:jc w:val="center"/>
              <w:rPr>
                <w:rFonts w:eastAsia="Calibri" w:cs="Arial"/>
                <w:sz w:val="18"/>
                <w:szCs w:val="18"/>
              </w:rPr>
            </w:pPr>
            <w:r>
              <w:rPr>
                <w:rFonts w:eastAsia="Calibri" w:cs="Arial"/>
                <w:sz w:val="18"/>
                <w:szCs w:val="18"/>
              </w:rPr>
              <w:t>96.5</w:t>
            </w:r>
            <w:r w:rsidR="00A160E0">
              <w:rPr>
                <w:rFonts w:eastAsia="Calibri" w:cs="Arial"/>
                <w:sz w:val="18"/>
                <w:szCs w:val="18"/>
              </w:rPr>
              <w:t>%</w:t>
            </w:r>
          </w:p>
        </w:tc>
        <w:tc>
          <w:tcPr>
            <w:tcW w:w="1276" w:type="dxa"/>
            <w:shd w:val="clear" w:color="auto" w:fill="B6DDE8" w:themeFill="accent5" w:themeFillTint="66"/>
          </w:tcPr>
          <w:p w:rsidR="00A160E0" w:rsidRPr="000A59FD" w:rsidRDefault="006B1E9A" w:rsidP="006B1E9A">
            <w:pPr>
              <w:jc w:val="center"/>
              <w:rPr>
                <w:rFonts w:eastAsia="Calibri" w:cs="Arial"/>
                <w:sz w:val="18"/>
                <w:szCs w:val="18"/>
              </w:rPr>
            </w:pPr>
            <w:r>
              <w:rPr>
                <w:rFonts w:eastAsia="Calibri" w:cs="Arial"/>
                <w:sz w:val="18"/>
                <w:szCs w:val="18"/>
              </w:rPr>
              <w:t>15,005</w:t>
            </w:r>
            <w:r w:rsidR="00A160E0" w:rsidRPr="000A59FD">
              <w:rPr>
                <w:rFonts w:eastAsia="Calibri" w:cs="Arial"/>
                <w:sz w:val="18"/>
                <w:szCs w:val="18"/>
              </w:rPr>
              <w:t xml:space="preserve"> / </w:t>
            </w:r>
            <w:r>
              <w:rPr>
                <w:rFonts w:eastAsia="Calibri" w:cs="Arial"/>
                <w:sz w:val="18"/>
                <w:szCs w:val="18"/>
              </w:rPr>
              <w:t>530</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14 day breast (93%)</w:t>
            </w:r>
          </w:p>
        </w:tc>
        <w:tc>
          <w:tcPr>
            <w:tcW w:w="1417" w:type="dxa"/>
            <w:shd w:val="clear" w:color="auto" w:fill="B6DDE8" w:themeFill="accent5" w:themeFillTint="66"/>
          </w:tcPr>
          <w:p w:rsidR="00A160E0" w:rsidRPr="00A92BB4" w:rsidRDefault="007D08EB" w:rsidP="00A843B0">
            <w:pPr>
              <w:jc w:val="center"/>
              <w:rPr>
                <w:rFonts w:eastAsia="Calibri" w:cs="Arial"/>
                <w:sz w:val="18"/>
                <w:szCs w:val="18"/>
              </w:rPr>
            </w:pPr>
            <w:r>
              <w:rPr>
                <w:rFonts w:eastAsia="Calibri" w:cs="Arial"/>
                <w:sz w:val="18"/>
                <w:szCs w:val="18"/>
              </w:rPr>
              <w:t>93.6</w:t>
            </w:r>
            <w:r w:rsidR="00A160E0">
              <w:rPr>
                <w:rFonts w:eastAsia="Calibri" w:cs="Arial"/>
                <w:sz w:val="18"/>
                <w:szCs w:val="18"/>
              </w:rPr>
              <w:t>%</w:t>
            </w:r>
          </w:p>
        </w:tc>
        <w:tc>
          <w:tcPr>
            <w:tcW w:w="1276" w:type="dxa"/>
            <w:shd w:val="clear" w:color="auto" w:fill="B6DDE8" w:themeFill="accent5" w:themeFillTint="66"/>
          </w:tcPr>
          <w:p w:rsidR="00A160E0" w:rsidRPr="00B019B4" w:rsidRDefault="00A47856" w:rsidP="00A47856">
            <w:pPr>
              <w:jc w:val="center"/>
              <w:rPr>
                <w:rFonts w:eastAsia="Calibri" w:cs="Arial"/>
                <w:sz w:val="18"/>
                <w:szCs w:val="18"/>
              </w:rPr>
            </w:pPr>
            <w:r>
              <w:rPr>
                <w:rFonts w:eastAsia="Calibri" w:cs="Arial"/>
                <w:sz w:val="18"/>
                <w:szCs w:val="18"/>
              </w:rPr>
              <w:t>204</w:t>
            </w:r>
            <w:r w:rsidR="00A160E0" w:rsidRPr="00B019B4">
              <w:rPr>
                <w:rFonts w:eastAsia="Calibri" w:cs="Arial"/>
                <w:sz w:val="18"/>
                <w:szCs w:val="18"/>
              </w:rPr>
              <w:t xml:space="preserve"> / </w:t>
            </w:r>
            <w:r>
              <w:rPr>
                <w:rFonts w:eastAsia="Calibri" w:cs="Arial"/>
                <w:sz w:val="18"/>
                <w:szCs w:val="18"/>
              </w:rPr>
              <w:t>13</w:t>
            </w:r>
          </w:p>
        </w:tc>
        <w:tc>
          <w:tcPr>
            <w:tcW w:w="1418" w:type="dxa"/>
            <w:shd w:val="clear" w:color="auto" w:fill="B6DDE8" w:themeFill="accent5" w:themeFillTint="66"/>
          </w:tcPr>
          <w:p w:rsidR="00A160E0" w:rsidRPr="00D41BB8" w:rsidRDefault="006B1E9A" w:rsidP="00440975">
            <w:pPr>
              <w:jc w:val="center"/>
              <w:rPr>
                <w:rFonts w:eastAsia="Calibri" w:cs="Arial"/>
                <w:sz w:val="18"/>
                <w:szCs w:val="18"/>
              </w:rPr>
            </w:pPr>
            <w:r>
              <w:rPr>
                <w:rFonts w:eastAsia="Calibri" w:cs="Arial"/>
                <w:sz w:val="18"/>
                <w:szCs w:val="18"/>
              </w:rPr>
              <w:t>95.7</w:t>
            </w:r>
            <w:r w:rsidR="00A160E0" w:rsidRPr="00D41BB8">
              <w:rPr>
                <w:rFonts w:eastAsia="Calibri" w:cs="Arial"/>
                <w:sz w:val="18"/>
                <w:szCs w:val="18"/>
              </w:rPr>
              <w:t>%</w:t>
            </w:r>
          </w:p>
        </w:tc>
        <w:tc>
          <w:tcPr>
            <w:tcW w:w="1417" w:type="dxa"/>
            <w:shd w:val="clear" w:color="auto" w:fill="B6DDE8" w:themeFill="accent5" w:themeFillTint="66"/>
          </w:tcPr>
          <w:p w:rsidR="00A160E0" w:rsidRPr="00D41BB8" w:rsidRDefault="006B1E9A" w:rsidP="006B1E9A">
            <w:pPr>
              <w:jc w:val="center"/>
              <w:rPr>
                <w:rFonts w:eastAsia="Calibri" w:cs="Arial"/>
                <w:sz w:val="18"/>
                <w:szCs w:val="18"/>
              </w:rPr>
            </w:pPr>
            <w:r>
              <w:rPr>
                <w:rFonts w:eastAsia="Calibri" w:cs="Arial"/>
                <w:sz w:val="18"/>
                <w:szCs w:val="18"/>
              </w:rPr>
              <w:t>556</w:t>
            </w:r>
            <w:r w:rsidR="00A160E0" w:rsidRPr="00D41BB8">
              <w:rPr>
                <w:rFonts w:eastAsia="Calibri" w:cs="Arial"/>
                <w:sz w:val="18"/>
                <w:szCs w:val="18"/>
              </w:rPr>
              <w:t xml:space="preserve"> / </w:t>
            </w:r>
            <w:r>
              <w:rPr>
                <w:rFonts w:eastAsia="Calibri" w:cs="Arial"/>
                <w:sz w:val="18"/>
                <w:szCs w:val="18"/>
              </w:rPr>
              <w:t>24</w:t>
            </w:r>
            <w:r w:rsidR="00A160E0" w:rsidRPr="00D41BB8">
              <w:rPr>
                <w:rFonts w:eastAsia="Calibri" w:cs="Arial"/>
                <w:sz w:val="18"/>
                <w:szCs w:val="18"/>
              </w:rPr>
              <w:t xml:space="preserve"> </w:t>
            </w:r>
          </w:p>
        </w:tc>
        <w:tc>
          <w:tcPr>
            <w:tcW w:w="1134" w:type="dxa"/>
            <w:shd w:val="clear" w:color="auto" w:fill="B6DDE8" w:themeFill="accent5" w:themeFillTint="66"/>
          </w:tcPr>
          <w:p w:rsidR="00A160E0" w:rsidRPr="00A92BB4" w:rsidRDefault="006B1E9A" w:rsidP="00A843B0">
            <w:pPr>
              <w:jc w:val="center"/>
              <w:rPr>
                <w:rFonts w:eastAsia="Calibri" w:cs="Arial"/>
                <w:sz w:val="18"/>
                <w:szCs w:val="18"/>
              </w:rPr>
            </w:pPr>
            <w:r>
              <w:rPr>
                <w:rFonts w:eastAsia="Calibri" w:cs="Arial"/>
                <w:sz w:val="18"/>
                <w:szCs w:val="18"/>
              </w:rPr>
              <w:t>95.3</w:t>
            </w:r>
            <w:r w:rsidR="00A160E0">
              <w:rPr>
                <w:rFonts w:eastAsia="Calibri" w:cs="Arial"/>
                <w:sz w:val="18"/>
                <w:szCs w:val="18"/>
              </w:rPr>
              <w:t>%</w:t>
            </w:r>
          </w:p>
        </w:tc>
        <w:tc>
          <w:tcPr>
            <w:tcW w:w="1276" w:type="dxa"/>
            <w:shd w:val="clear" w:color="auto" w:fill="B6DDE8" w:themeFill="accent5" w:themeFillTint="66"/>
          </w:tcPr>
          <w:p w:rsidR="00A160E0" w:rsidRPr="000A59FD" w:rsidRDefault="006B1E9A" w:rsidP="006B1E9A">
            <w:pPr>
              <w:jc w:val="center"/>
              <w:rPr>
                <w:rFonts w:eastAsia="Calibri" w:cs="Arial"/>
                <w:sz w:val="18"/>
                <w:szCs w:val="18"/>
              </w:rPr>
            </w:pPr>
            <w:r>
              <w:rPr>
                <w:rFonts w:eastAsia="Calibri" w:cs="Arial"/>
                <w:sz w:val="18"/>
                <w:szCs w:val="18"/>
              </w:rPr>
              <w:t>2,380</w:t>
            </w:r>
            <w:r w:rsidR="00A160E0" w:rsidRPr="000A59FD">
              <w:rPr>
                <w:rFonts w:eastAsia="Calibri" w:cs="Arial"/>
                <w:sz w:val="18"/>
                <w:szCs w:val="18"/>
              </w:rPr>
              <w:t xml:space="preserve"> / </w:t>
            </w:r>
            <w:r>
              <w:rPr>
                <w:rFonts w:eastAsia="Calibri" w:cs="Arial"/>
                <w:sz w:val="18"/>
                <w:szCs w:val="18"/>
              </w:rPr>
              <w:t>111</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31 day first treatment (96%)</w:t>
            </w:r>
          </w:p>
        </w:tc>
        <w:tc>
          <w:tcPr>
            <w:tcW w:w="1417" w:type="dxa"/>
            <w:shd w:val="clear" w:color="auto" w:fill="B6DDE8" w:themeFill="accent5" w:themeFillTint="66"/>
          </w:tcPr>
          <w:p w:rsidR="00A160E0" w:rsidRDefault="007D08EB" w:rsidP="00A843B0">
            <w:pPr>
              <w:jc w:val="center"/>
            </w:pPr>
            <w:r>
              <w:rPr>
                <w:rFonts w:eastAsia="Calibri" w:cs="Arial"/>
                <w:sz w:val="18"/>
                <w:szCs w:val="18"/>
              </w:rPr>
              <w:t>98.9</w:t>
            </w:r>
            <w:r w:rsidR="00A160E0" w:rsidRPr="00154B64">
              <w:rPr>
                <w:rFonts w:eastAsia="Calibri" w:cs="Arial"/>
                <w:sz w:val="18"/>
                <w:szCs w:val="18"/>
              </w:rPr>
              <w:t>%</w:t>
            </w:r>
          </w:p>
        </w:tc>
        <w:tc>
          <w:tcPr>
            <w:tcW w:w="1276" w:type="dxa"/>
            <w:shd w:val="clear" w:color="auto" w:fill="B6DDE8" w:themeFill="accent5" w:themeFillTint="66"/>
          </w:tcPr>
          <w:p w:rsidR="00A160E0" w:rsidRPr="00B019B4" w:rsidRDefault="00A47856" w:rsidP="00A47856">
            <w:pPr>
              <w:jc w:val="center"/>
              <w:rPr>
                <w:rFonts w:eastAsia="Calibri" w:cs="Arial"/>
                <w:sz w:val="18"/>
                <w:szCs w:val="18"/>
              </w:rPr>
            </w:pPr>
            <w:r>
              <w:rPr>
                <w:rFonts w:eastAsia="Calibri" w:cs="Arial"/>
                <w:sz w:val="18"/>
                <w:szCs w:val="18"/>
              </w:rPr>
              <w:t>181</w:t>
            </w:r>
            <w:r w:rsidR="00A160E0" w:rsidRPr="00B019B4">
              <w:rPr>
                <w:rFonts w:eastAsia="Calibri" w:cs="Arial"/>
                <w:sz w:val="18"/>
                <w:szCs w:val="18"/>
              </w:rPr>
              <w:t xml:space="preserve"> / </w:t>
            </w:r>
            <w:r>
              <w:rPr>
                <w:rFonts w:eastAsia="Calibri" w:cs="Arial"/>
                <w:sz w:val="18"/>
                <w:szCs w:val="18"/>
              </w:rPr>
              <w:t>2</w:t>
            </w:r>
          </w:p>
        </w:tc>
        <w:tc>
          <w:tcPr>
            <w:tcW w:w="1418" w:type="dxa"/>
            <w:shd w:val="clear" w:color="auto" w:fill="B6DDE8" w:themeFill="accent5" w:themeFillTint="66"/>
          </w:tcPr>
          <w:p w:rsidR="00A160E0" w:rsidRPr="00D41BB8" w:rsidRDefault="006B1E9A" w:rsidP="00440975">
            <w:pPr>
              <w:jc w:val="center"/>
              <w:rPr>
                <w:rFonts w:eastAsia="Calibri" w:cs="Arial"/>
                <w:sz w:val="18"/>
                <w:szCs w:val="18"/>
              </w:rPr>
            </w:pPr>
            <w:r>
              <w:rPr>
                <w:rFonts w:eastAsia="Calibri" w:cs="Arial"/>
                <w:sz w:val="18"/>
                <w:szCs w:val="18"/>
              </w:rPr>
              <w:t>99.0</w:t>
            </w:r>
            <w:r w:rsidR="00A160E0" w:rsidRPr="00D41BB8">
              <w:rPr>
                <w:rFonts w:eastAsia="Calibri" w:cs="Arial"/>
                <w:sz w:val="18"/>
                <w:szCs w:val="18"/>
              </w:rPr>
              <w:t>%</w:t>
            </w:r>
          </w:p>
        </w:tc>
        <w:tc>
          <w:tcPr>
            <w:tcW w:w="1417" w:type="dxa"/>
            <w:shd w:val="clear" w:color="auto" w:fill="B6DDE8" w:themeFill="accent5" w:themeFillTint="66"/>
          </w:tcPr>
          <w:p w:rsidR="00A160E0" w:rsidRPr="00D41BB8" w:rsidRDefault="006B1E9A" w:rsidP="006B1E9A">
            <w:pPr>
              <w:jc w:val="center"/>
              <w:rPr>
                <w:rFonts w:eastAsia="Calibri" w:cs="Arial"/>
                <w:sz w:val="18"/>
                <w:szCs w:val="18"/>
              </w:rPr>
            </w:pPr>
            <w:r>
              <w:rPr>
                <w:rFonts w:eastAsia="Calibri" w:cs="Arial"/>
                <w:sz w:val="18"/>
                <w:szCs w:val="18"/>
              </w:rPr>
              <w:t>520</w:t>
            </w:r>
            <w:r w:rsidR="00A160E0" w:rsidRPr="00D41BB8">
              <w:rPr>
                <w:rFonts w:eastAsia="Calibri" w:cs="Arial"/>
                <w:sz w:val="18"/>
                <w:szCs w:val="18"/>
              </w:rPr>
              <w:t xml:space="preserve"> / </w:t>
            </w:r>
            <w:r>
              <w:rPr>
                <w:rFonts w:eastAsia="Calibri" w:cs="Arial"/>
                <w:sz w:val="18"/>
                <w:szCs w:val="18"/>
              </w:rPr>
              <w:t>5</w:t>
            </w:r>
          </w:p>
        </w:tc>
        <w:tc>
          <w:tcPr>
            <w:tcW w:w="1134" w:type="dxa"/>
            <w:shd w:val="clear" w:color="auto" w:fill="B6DDE8" w:themeFill="accent5" w:themeFillTint="66"/>
          </w:tcPr>
          <w:p w:rsidR="00A160E0" w:rsidRDefault="00343415" w:rsidP="00A843B0">
            <w:pPr>
              <w:jc w:val="center"/>
            </w:pPr>
            <w:r>
              <w:rPr>
                <w:rFonts w:eastAsia="Calibri" w:cs="Arial"/>
                <w:sz w:val="18"/>
                <w:szCs w:val="18"/>
              </w:rPr>
              <w:t>99.2</w:t>
            </w:r>
            <w:r w:rsidR="00A160E0" w:rsidRPr="00154B64">
              <w:rPr>
                <w:rFonts w:eastAsia="Calibri" w:cs="Arial"/>
                <w:sz w:val="18"/>
                <w:szCs w:val="18"/>
              </w:rPr>
              <w:t>%</w:t>
            </w:r>
          </w:p>
        </w:tc>
        <w:tc>
          <w:tcPr>
            <w:tcW w:w="1276" w:type="dxa"/>
            <w:shd w:val="clear" w:color="auto" w:fill="B6DDE8" w:themeFill="accent5" w:themeFillTint="66"/>
          </w:tcPr>
          <w:p w:rsidR="00A160E0" w:rsidRPr="000A59FD" w:rsidRDefault="006B1E9A" w:rsidP="006B1E9A">
            <w:pPr>
              <w:jc w:val="center"/>
              <w:rPr>
                <w:rFonts w:eastAsia="Calibri" w:cs="Arial"/>
                <w:sz w:val="18"/>
                <w:szCs w:val="18"/>
              </w:rPr>
            </w:pPr>
            <w:r>
              <w:rPr>
                <w:rFonts w:eastAsia="Calibri" w:cs="Arial"/>
                <w:sz w:val="18"/>
                <w:szCs w:val="18"/>
              </w:rPr>
              <w:t>2.036</w:t>
            </w:r>
            <w:r w:rsidR="00A160E0" w:rsidRPr="000A59FD">
              <w:rPr>
                <w:rFonts w:eastAsia="Calibri" w:cs="Arial"/>
                <w:sz w:val="18"/>
                <w:szCs w:val="18"/>
              </w:rPr>
              <w:t xml:space="preserve"> / 1</w:t>
            </w:r>
            <w:r>
              <w:rPr>
                <w:rFonts w:eastAsia="Calibri" w:cs="Arial"/>
                <w:sz w:val="18"/>
                <w:szCs w:val="18"/>
              </w:rPr>
              <w:t>7</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31 subsequent surgery (94%)</w:t>
            </w:r>
          </w:p>
        </w:tc>
        <w:tc>
          <w:tcPr>
            <w:tcW w:w="1417" w:type="dxa"/>
            <w:shd w:val="clear" w:color="auto" w:fill="B6DDE8" w:themeFill="accent5" w:themeFillTint="66"/>
          </w:tcPr>
          <w:p w:rsidR="00A160E0" w:rsidRDefault="007D08EB" w:rsidP="00A843B0">
            <w:pPr>
              <w:jc w:val="center"/>
            </w:pPr>
            <w:r>
              <w:rPr>
                <w:rFonts w:eastAsia="Calibri" w:cs="Arial"/>
                <w:sz w:val="18"/>
                <w:szCs w:val="18"/>
              </w:rPr>
              <w:t>94.1</w:t>
            </w:r>
            <w:r w:rsidR="00A160E0" w:rsidRPr="00154B64">
              <w:rPr>
                <w:rFonts w:eastAsia="Calibri" w:cs="Arial"/>
                <w:sz w:val="18"/>
                <w:szCs w:val="18"/>
              </w:rPr>
              <w:t>%</w:t>
            </w:r>
          </w:p>
        </w:tc>
        <w:tc>
          <w:tcPr>
            <w:tcW w:w="1276" w:type="dxa"/>
            <w:shd w:val="clear" w:color="auto" w:fill="B6DDE8" w:themeFill="accent5" w:themeFillTint="66"/>
          </w:tcPr>
          <w:p w:rsidR="00A160E0" w:rsidRPr="00B019B4" w:rsidRDefault="00A47856" w:rsidP="00A47856">
            <w:pPr>
              <w:jc w:val="center"/>
              <w:rPr>
                <w:rFonts w:eastAsia="Calibri" w:cs="Arial"/>
                <w:sz w:val="18"/>
                <w:szCs w:val="18"/>
              </w:rPr>
            </w:pPr>
            <w:r>
              <w:rPr>
                <w:rFonts w:eastAsia="Calibri" w:cs="Arial"/>
                <w:sz w:val="18"/>
                <w:szCs w:val="18"/>
              </w:rPr>
              <w:t>34</w:t>
            </w:r>
            <w:r w:rsidR="00A160E0" w:rsidRPr="00B019B4">
              <w:rPr>
                <w:rFonts w:eastAsia="Calibri" w:cs="Arial"/>
                <w:sz w:val="18"/>
                <w:szCs w:val="18"/>
              </w:rPr>
              <w:t xml:space="preserve"> / </w:t>
            </w:r>
            <w:r>
              <w:rPr>
                <w:rFonts w:eastAsia="Calibri" w:cs="Arial"/>
                <w:sz w:val="18"/>
                <w:szCs w:val="18"/>
              </w:rPr>
              <w:t>2</w:t>
            </w:r>
          </w:p>
        </w:tc>
        <w:tc>
          <w:tcPr>
            <w:tcW w:w="1418" w:type="dxa"/>
            <w:shd w:val="clear" w:color="auto" w:fill="B6DDE8" w:themeFill="accent5" w:themeFillTint="66"/>
          </w:tcPr>
          <w:p w:rsidR="00A160E0" w:rsidRPr="00D41BB8" w:rsidRDefault="006B1E9A" w:rsidP="00440975">
            <w:pPr>
              <w:jc w:val="center"/>
              <w:rPr>
                <w:rFonts w:eastAsia="Calibri" w:cs="Arial"/>
                <w:sz w:val="18"/>
                <w:szCs w:val="18"/>
              </w:rPr>
            </w:pPr>
            <w:r>
              <w:rPr>
                <w:rFonts w:eastAsia="Calibri" w:cs="Arial"/>
                <w:sz w:val="18"/>
                <w:szCs w:val="18"/>
              </w:rPr>
              <w:t>96.2</w:t>
            </w:r>
            <w:r w:rsidR="00A160E0" w:rsidRPr="00D41BB8">
              <w:rPr>
                <w:rFonts w:eastAsia="Calibri" w:cs="Arial"/>
                <w:sz w:val="18"/>
                <w:szCs w:val="18"/>
              </w:rPr>
              <w:t>%</w:t>
            </w:r>
          </w:p>
        </w:tc>
        <w:tc>
          <w:tcPr>
            <w:tcW w:w="1417" w:type="dxa"/>
            <w:shd w:val="clear" w:color="auto" w:fill="B6DDE8" w:themeFill="accent5" w:themeFillTint="66"/>
          </w:tcPr>
          <w:p w:rsidR="00A160E0" w:rsidRPr="00D41BB8" w:rsidRDefault="006B1E9A" w:rsidP="00440975">
            <w:pPr>
              <w:jc w:val="center"/>
              <w:rPr>
                <w:rFonts w:eastAsia="Calibri" w:cs="Arial"/>
                <w:sz w:val="18"/>
                <w:szCs w:val="18"/>
              </w:rPr>
            </w:pPr>
            <w:r>
              <w:rPr>
                <w:rFonts w:eastAsia="Calibri" w:cs="Arial"/>
                <w:sz w:val="18"/>
                <w:szCs w:val="18"/>
              </w:rPr>
              <w:t>106 / 4</w:t>
            </w:r>
          </w:p>
        </w:tc>
        <w:tc>
          <w:tcPr>
            <w:tcW w:w="1134" w:type="dxa"/>
            <w:shd w:val="clear" w:color="auto" w:fill="B6DDE8" w:themeFill="accent5" w:themeFillTint="66"/>
          </w:tcPr>
          <w:p w:rsidR="00A160E0" w:rsidRDefault="006B1E9A" w:rsidP="00A843B0">
            <w:pPr>
              <w:jc w:val="center"/>
            </w:pPr>
            <w:r>
              <w:rPr>
                <w:rFonts w:eastAsia="Calibri" w:cs="Arial"/>
                <w:sz w:val="18"/>
                <w:szCs w:val="18"/>
              </w:rPr>
              <w:t>97.9</w:t>
            </w:r>
            <w:r w:rsidR="00A160E0" w:rsidRPr="00154B64">
              <w:rPr>
                <w:rFonts w:eastAsia="Calibri" w:cs="Arial"/>
                <w:sz w:val="18"/>
                <w:szCs w:val="18"/>
              </w:rPr>
              <w:t>%</w:t>
            </w:r>
          </w:p>
        </w:tc>
        <w:tc>
          <w:tcPr>
            <w:tcW w:w="1276" w:type="dxa"/>
            <w:shd w:val="clear" w:color="auto" w:fill="B6DDE8" w:themeFill="accent5" w:themeFillTint="66"/>
          </w:tcPr>
          <w:p w:rsidR="00A160E0" w:rsidRPr="000A59FD" w:rsidRDefault="006B1E9A" w:rsidP="006B1E9A">
            <w:pPr>
              <w:jc w:val="center"/>
              <w:rPr>
                <w:rFonts w:eastAsia="Calibri" w:cs="Arial"/>
                <w:sz w:val="18"/>
                <w:szCs w:val="18"/>
              </w:rPr>
            </w:pPr>
            <w:r>
              <w:rPr>
                <w:rFonts w:eastAsia="Calibri" w:cs="Arial"/>
                <w:sz w:val="18"/>
                <w:szCs w:val="18"/>
              </w:rPr>
              <w:t>384</w:t>
            </w:r>
            <w:r w:rsidR="00A160E0" w:rsidRPr="000A59FD">
              <w:rPr>
                <w:rFonts w:eastAsia="Calibri" w:cs="Arial"/>
                <w:sz w:val="18"/>
                <w:szCs w:val="18"/>
              </w:rPr>
              <w:t xml:space="preserve"> / </w:t>
            </w:r>
            <w:r>
              <w:rPr>
                <w:rFonts w:eastAsia="Calibri" w:cs="Arial"/>
                <w:sz w:val="18"/>
                <w:szCs w:val="18"/>
              </w:rPr>
              <w:t>8</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31 subsequent chemotherapy (98%)</w:t>
            </w:r>
          </w:p>
        </w:tc>
        <w:tc>
          <w:tcPr>
            <w:tcW w:w="1417" w:type="dxa"/>
            <w:shd w:val="clear" w:color="auto" w:fill="B6DDE8" w:themeFill="accent5" w:themeFillTint="66"/>
          </w:tcPr>
          <w:p w:rsidR="00A160E0" w:rsidRDefault="00BF0AD0" w:rsidP="00A843B0">
            <w:pPr>
              <w:jc w:val="center"/>
            </w:pPr>
            <w:r>
              <w:rPr>
                <w:rFonts w:eastAsia="Calibri" w:cs="Arial"/>
                <w:sz w:val="18"/>
                <w:szCs w:val="18"/>
              </w:rPr>
              <w:t>100.0</w:t>
            </w:r>
            <w:r w:rsidR="00A160E0" w:rsidRPr="00154B64">
              <w:rPr>
                <w:rFonts w:eastAsia="Calibri" w:cs="Arial"/>
                <w:sz w:val="18"/>
                <w:szCs w:val="18"/>
              </w:rPr>
              <w:t>%</w:t>
            </w:r>
          </w:p>
        </w:tc>
        <w:tc>
          <w:tcPr>
            <w:tcW w:w="1276" w:type="dxa"/>
            <w:shd w:val="clear" w:color="auto" w:fill="B6DDE8" w:themeFill="accent5" w:themeFillTint="66"/>
          </w:tcPr>
          <w:p w:rsidR="00A160E0" w:rsidRPr="00B019B4" w:rsidRDefault="00A47856" w:rsidP="00476389">
            <w:pPr>
              <w:jc w:val="center"/>
              <w:rPr>
                <w:rFonts w:eastAsia="Calibri" w:cs="Arial"/>
                <w:sz w:val="18"/>
                <w:szCs w:val="18"/>
              </w:rPr>
            </w:pPr>
            <w:r>
              <w:rPr>
                <w:rFonts w:eastAsia="Calibri" w:cs="Arial"/>
                <w:sz w:val="18"/>
                <w:szCs w:val="18"/>
              </w:rPr>
              <w:t>102</w:t>
            </w:r>
            <w:r w:rsidR="00A160E0" w:rsidRPr="00B019B4">
              <w:rPr>
                <w:rFonts w:eastAsia="Calibri" w:cs="Arial"/>
                <w:sz w:val="18"/>
                <w:szCs w:val="18"/>
              </w:rPr>
              <w:t xml:space="preserve"> / 0</w:t>
            </w:r>
          </w:p>
        </w:tc>
        <w:tc>
          <w:tcPr>
            <w:tcW w:w="1418" w:type="dxa"/>
            <w:shd w:val="clear" w:color="auto" w:fill="B6DDE8" w:themeFill="accent5" w:themeFillTint="66"/>
          </w:tcPr>
          <w:p w:rsidR="00A160E0" w:rsidRPr="00D41BB8" w:rsidRDefault="006B1E9A" w:rsidP="00440975">
            <w:pPr>
              <w:jc w:val="center"/>
              <w:rPr>
                <w:rFonts w:eastAsia="Calibri" w:cs="Arial"/>
                <w:sz w:val="18"/>
                <w:szCs w:val="18"/>
              </w:rPr>
            </w:pPr>
            <w:r>
              <w:rPr>
                <w:rFonts w:eastAsia="Calibri" w:cs="Arial"/>
                <w:sz w:val="18"/>
                <w:szCs w:val="18"/>
              </w:rPr>
              <w:t>100.0</w:t>
            </w:r>
            <w:r w:rsidR="00A160E0" w:rsidRPr="00D41BB8">
              <w:rPr>
                <w:rFonts w:eastAsia="Calibri" w:cs="Arial"/>
                <w:sz w:val="18"/>
                <w:szCs w:val="18"/>
              </w:rPr>
              <w:t>%</w:t>
            </w:r>
          </w:p>
        </w:tc>
        <w:tc>
          <w:tcPr>
            <w:tcW w:w="1417" w:type="dxa"/>
            <w:shd w:val="clear" w:color="auto" w:fill="B6DDE8" w:themeFill="accent5" w:themeFillTint="66"/>
          </w:tcPr>
          <w:p w:rsidR="00A160E0" w:rsidRPr="00D41BB8" w:rsidRDefault="006B1E9A" w:rsidP="006B1E9A">
            <w:pPr>
              <w:jc w:val="center"/>
              <w:rPr>
                <w:rFonts w:eastAsia="Calibri" w:cs="Arial"/>
                <w:sz w:val="18"/>
                <w:szCs w:val="18"/>
              </w:rPr>
            </w:pPr>
            <w:r>
              <w:rPr>
                <w:rFonts w:eastAsia="Calibri" w:cs="Arial"/>
                <w:sz w:val="18"/>
                <w:szCs w:val="18"/>
              </w:rPr>
              <w:t>228</w:t>
            </w:r>
            <w:r w:rsidR="00A160E0" w:rsidRPr="00D41BB8">
              <w:rPr>
                <w:rFonts w:eastAsia="Calibri" w:cs="Arial"/>
                <w:sz w:val="18"/>
                <w:szCs w:val="18"/>
              </w:rPr>
              <w:t xml:space="preserve"> / </w:t>
            </w:r>
            <w:r>
              <w:rPr>
                <w:rFonts w:eastAsia="Calibri" w:cs="Arial"/>
                <w:sz w:val="18"/>
                <w:szCs w:val="18"/>
              </w:rPr>
              <w:t>0</w:t>
            </w:r>
          </w:p>
        </w:tc>
        <w:tc>
          <w:tcPr>
            <w:tcW w:w="1134" w:type="dxa"/>
            <w:shd w:val="clear" w:color="auto" w:fill="B6DDE8" w:themeFill="accent5" w:themeFillTint="66"/>
          </w:tcPr>
          <w:p w:rsidR="00A160E0" w:rsidRDefault="00C109C0" w:rsidP="00A843B0">
            <w:pPr>
              <w:jc w:val="center"/>
            </w:pPr>
            <w:r w:rsidRPr="00C109C0">
              <w:rPr>
                <w:rFonts w:eastAsia="Calibri" w:cs="Arial"/>
                <w:sz w:val="18"/>
                <w:szCs w:val="18"/>
              </w:rPr>
              <w:t>9</w:t>
            </w:r>
            <w:r w:rsidR="00537EBA">
              <w:rPr>
                <w:rFonts w:eastAsia="Calibri" w:cs="Arial"/>
                <w:sz w:val="18"/>
                <w:szCs w:val="18"/>
              </w:rPr>
              <w:t>9.9</w:t>
            </w:r>
            <w:r w:rsidR="00A160E0" w:rsidRPr="00C109C0">
              <w:rPr>
                <w:rFonts w:eastAsia="Calibri" w:cs="Arial"/>
                <w:sz w:val="18"/>
                <w:szCs w:val="18"/>
              </w:rPr>
              <w:t>%</w:t>
            </w:r>
          </w:p>
        </w:tc>
        <w:tc>
          <w:tcPr>
            <w:tcW w:w="1276" w:type="dxa"/>
            <w:shd w:val="clear" w:color="auto" w:fill="B6DDE8" w:themeFill="accent5" w:themeFillTint="66"/>
          </w:tcPr>
          <w:p w:rsidR="00A160E0" w:rsidRPr="000A59FD" w:rsidRDefault="006B1E9A" w:rsidP="00CD2EB7">
            <w:pPr>
              <w:tabs>
                <w:tab w:val="left" w:pos="201"/>
                <w:tab w:val="center" w:pos="628"/>
              </w:tabs>
              <w:rPr>
                <w:rFonts w:eastAsia="Calibri" w:cs="Arial"/>
                <w:sz w:val="18"/>
                <w:szCs w:val="18"/>
              </w:rPr>
            </w:pPr>
            <w:r>
              <w:rPr>
                <w:rFonts w:eastAsia="Calibri" w:cs="Arial"/>
                <w:sz w:val="18"/>
                <w:szCs w:val="18"/>
              </w:rPr>
              <w:tab/>
            </w:r>
            <w:r>
              <w:rPr>
                <w:rFonts w:eastAsia="Calibri" w:cs="Arial"/>
                <w:sz w:val="18"/>
                <w:szCs w:val="18"/>
              </w:rPr>
              <w:tab/>
              <w:t>672</w:t>
            </w:r>
            <w:r w:rsidR="00A160E0" w:rsidRPr="000A59FD">
              <w:rPr>
                <w:rFonts w:eastAsia="Calibri" w:cs="Arial"/>
                <w:sz w:val="18"/>
                <w:szCs w:val="18"/>
              </w:rPr>
              <w:t>/ 1</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31 day subsequent radiotherapy (94%)</w:t>
            </w:r>
          </w:p>
        </w:tc>
        <w:tc>
          <w:tcPr>
            <w:tcW w:w="1417" w:type="dxa"/>
            <w:shd w:val="clear" w:color="auto" w:fill="B6DDE8" w:themeFill="accent5" w:themeFillTint="66"/>
          </w:tcPr>
          <w:p w:rsidR="00A160E0" w:rsidRDefault="00A160E0" w:rsidP="00A843B0">
            <w:pPr>
              <w:jc w:val="center"/>
            </w:pPr>
          </w:p>
        </w:tc>
        <w:tc>
          <w:tcPr>
            <w:tcW w:w="1276" w:type="dxa"/>
            <w:shd w:val="clear" w:color="auto" w:fill="B6DDE8" w:themeFill="accent5" w:themeFillTint="66"/>
          </w:tcPr>
          <w:p w:rsidR="00A160E0" w:rsidRPr="00B019B4" w:rsidRDefault="00A160E0" w:rsidP="00440975">
            <w:pPr>
              <w:jc w:val="center"/>
              <w:rPr>
                <w:rFonts w:eastAsia="Calibri" w:cs="Arial"/>
                <w:sz w:val="18"/>
                <w:szCs w:val="18"/>
              </w:rPr>
            </w:pPr>
          </w:p>
        </w:tc>
        <w:tc>
          <w:tcPr>
            <w:tcW w:w="1418" w:type="dxa"/>
            <w:shd w:val="clear" w:color="auto" w:fill="B6DDE8" w:themeFill="accent5" w:themeFillTint="66"/>
          </w:tcPr>
          <w:p w:rsidR="00A160E0" w:rsidRPr="00D41BB8" w:rsidRDefault="00A160E0" w:rsidP="00EF13E8">
            <w:pPr>
              <w:jc w:val="center"/>
              <w:rPr>
                <w:rFonts w:eastAsia="Calibri" w:cs="Arial"/>
                <w:sz w:val="18"/>
                <w:szCs w:val="18"/>
              </w:rPr>
            </w:pPr>
          </w:p>
        </w:tc>
        <w:tc>
          <w:tcPr>
            <w:tcW w:w="1417" w:type="dxa"/>
            <w:shd w:val="clear" w:color="auto" w:fill="B6DDE8" w:themeFill="accent5" w:themeFillTint="66"/>
          </w:tcPr>
          <w:p w:rsidR="00A160E0" w:rsidRPr="00D41BB8" w:rsidRDefault="00A160E0" w:rsidP="00440975">
            <w:pPr>
              <w:jc w:val="center"/>
              <w:rPr>
                <w:rFonts w:eastAsia="Calibri" w:cs="Arial"/>
                <w:sz w:val="18"/>
                <w:szCs w:val="18"/>
              </w:rPr>
            </w:pPr>
          </w:p>
        </w:tc>
        <w:tc>
          <w:tcPr>
            <w:tcW w:w="1134" w:type="dxa"/>
            <w:shd w:val="clear" w:color="auto" w:fill="B6DDE8" w:themeFill="accent5" w:themeFillTint="66"/>
          </w:tcPr>
          <w:p w:rsidR="00A160E0" w:rsidRPr="003A02AC" w:rsidRDefault="003A02AC" w:rsidP="00A843B0">
            <w:pPr>
              <w:jc w:val="center"/>
              <w:rPr>
                <w:sz w:val="18"/>
                <w:szCs w:val="18"/>
              </w:rPr>
            </w:pPr>
            <w:r w:rsidRPr="003A02AC">
              <w:rPr>
                <w:sz w:val="18"/>
                <w:szCs w:val="18"/>
              </w:rPr>
              <w:t>100.0%</w:t>
            </w:r>
          </w:p>
        </w:tc>
        <w:tc>
          <w:tcPr>
            <w:tcW w:w="1276" w:type="dxa"/>
            <w:shd w:val="clear" w:color="auto" w:fill="B6DDE8" w:themeFill="accent5" w:themeFillTint="66"/>
          </w:tcPr>
          <w:p w:rsidR="00A160E0" w:rsidRPr="000A59FD" w:rsidRDefault="00A160E0" w:rsidP="00440975">
            <w:pPr>
              <w:jc w:val="center"/>
              <w:rPr>
                <w:rFonts w:eastAsia="Calibri" w:cs="Arial"/>
                <w:sz w:val="18"/>
                <w:szCs w:val="18"/>
              </w:rPr>
            </w:pPr>
            <w:r w:rsidRPr="000A59FD">
              <w:rPr>
                <w:rFonts w:eastAsia="Calibri" w:cs="Arial"/>
                <w:sz w:val="18"/>
                <w:szCs w:val="18"/>
              </w:rPr>
              <w:t>1 / 0</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62 day standard (85%)</w:t>
            </w:r>
          </w:p>
        </w:tc>
        <w:tc>
          <w:tcPr>
            <w:tcW w:w="1417" w:type="dxa"/>
            <w:shd w:val="clear" w:color="auto" w:fill="B6DDE8" w:themeFill="accent5" w:themeFillTint="66"/>
          </w:tcPr>
          <w:p w:rsidR="00A160E0" w:rsidRDefault="007D08EB" w:rsidP="00A843B0">
            <w:pPr>
              <w:jc w:val="center"/>
            </w:pPr>
            <w:r>
              <w:rPr>
                <w:rFonts w:eastAsia="Calibri" w:cs="Arial"/>
                <w:sz w:val="18"/>
                <w:szCs w:val="18"/>
              </w:rPr>
              <w:t>88.4</w:t>
            </w:r>
            <w:r w:rsidR="00A160E0" w:rsidRPr="00154B64">
              <w:rPr>
                <w:rFonts w:eastAsia="Calibri" w:cs="Arial"/>
                <w:sz w:val="18"/>
                <w:szCs w:val="18"/>
              </w:rPr>
              <w:t>%</w:t>
            </w:r>
          </w:p>
        </w:tc>
        <w:tc>
          <w:tcPr>
            <w:tcW w:w="1276" w:type="dxa"/>
            <w:shd w:val="clear" w:color="auto" w:fill="B6DDE8" w:themeFill="accent5" w:themeFillTint="66"/>
          </w:tcPr>
          <w:p w:rsidR="00A160E0" w:rsidRPr="00B019B4" w:rsidRDefault="00A47856" w:rsidP="00A47856">
            <w:pPr>
              <w:jc w:val="center"/>
              <w:rPr>
                <w:rFonts w:eastAsia="Calibri" w:cs="Arial"/>
                <w:sz w:val="18"/>
                <w:szCs w:val="18"/>
              </w:rPr>
            </w:pPr>
            <w:r>
              <w:rPr>
                <w:rFonts w:eastAsia="Calibri" w:cs="Arial"/>
                <w:sz w:val="18"/>
                <w:szCs w:val="18"/>
              </w:rPr>
              <w:t>95</w:t>
            </w:r>
            <w:r w:rsidR="00A160E0" w:rsidRPr="00B019B4">
              <w:rPr>
                <w:rFonts w:eastAsia="Calibri" w:cs="Arial"/>
                <w:sz w:val="18"/>
                <w:szCs w:val="18"/>
              </w:rPr>
              <w:t xml:space="preserve"> / </w:t>
            </w:r>
            <w:r w:rsidR="00BF0AD0">
              <w:rPr>
                <w:rFonts w:eastAsia="Calibri" w:cs="Arial"/>
                <w:sz w:val="18"/>
                <w:szCs w:val="18"/>
              </w:rPr>
              <w:t>1</w:t>
            </w:r>
            <w:r>
              <w:rPr>
                <w:rFonts w:eastAsia="Calibri" w:cs="Arial"/>
                <w:sz w:val="18"/>
                <w:szCs w:val="18"/>
              </w:rPr>
              <w:t>1</w:t>
            </w:r>
          </w:p>
        </w:tc>
        <w:tc>
          <w:tcPr>
            <w:tcW w:w="1418" w:type="dxa"/>
            <w:shd w:val="clear" w:color="auto" w:fill="B6DDE8" w:themeFill="accent5" w:themeFillTint="66"/>
          </w:tcPr>
          <w:p w:rsidR="00A160E0" w:rsidRPr="00D41BB8" w:rsidRDefault="006B1E9A" w:rsidP="00A05340">
            <w:pPr>
              <w:jc w:val="center"/>
              <w:rPr>
                <w:rFonts w:eastAsia="Calibri" w:cs="Arial"/>
                <w:sz w:val="18"/>
                <w:szCs w:val="18"/>
              </w:rPr>
            </w:pPr>
            <w:r>
              <w:rPr>
                <w:rFonts w:eastAsia="Calibri" w:cs="Arial"/>
                <w:sz w:val="18"/>
                <w:szCs w:val="18"/>
              </w:rPr>
              <w:t>89.5</w:t>
            </w:r>
            <w:r w:rsidR="00A160E0" w:rsidRPr="00D41BB8">
              <w:rPr>
                <w:rFonts w:eastAsia="Calibri" w:cs="Arial"/>
                <w:sz w:val="18"/>
                <w:szCs w:val="18"/>
              </w:rPr>
              <w:t xml:space="preserve">% </w:t>
            </w:r>
          </w:p>
        </w:tc>
        <w:tc>
          <w:tcPr>
            <w:tcW w:w="1417" w:type="dxa"/>
            <w:shd w:val="clear" w:color="auto" w:fill="B6DDE8" w:themeFill="accent5" w:themeFillTint="66"/>
          </w:tcPr>
          <w:p w:rsidR="00A160E0" w:rsidRPr="00D41BB8" w:rsidRDefault="006B1E9A" w:rsidP="006B1E9A">
            <w:pPr>
              <w:jc w:val="center"/>
              <w:rPr>
                <w:rFonts w:eastAsia="Calibri" w:cs="Arial"/>
                <w:sz w:val="18"/>
                <w:szCs w:val="18"/>
              </w:rPr>
            </w:pPr>
            <w:r>
              <w:rPr>
                <w:rFonts w:eastAsia="Calibri" w:cs="Arial"/>
                <w:sz w:val="18"/>
                <w:szCs w:val="18"/>
              </w:rPr>
              <w:t>275</w:t>
            </w:r>
            <w:r w:rsidR="00A160E0" w:rsidRPr="00D41BB8">
              <w:rPr>
                <w:rFonts w:eastAsia="Calibri" w:cs="Arial"/>
                <w:sz w:val="18"/>
                <w:szCs w:val="18"/>
              </w:rPr>
              <w:t xml:space="preserve"> / 2</w:t>
            </w:r>
            <w:r>
              <w:rPr>
                <w:rFonts w:eastAsia="Calibri" w:cs="Arial"/>
                <w:sz w:val="18"/>
                <w:szCs w:val="18"/>
              </w:rPr>
              <w:t>9</w:t>
            </w:r>
          </w:p>
        </w:tc>
        <w:tc>
          <w:tcPr>
            <w:tcW w:w="1134" w:type="dxa"/>
            <w:shd w:val="clear" w:color="auto" w:fill="B6DDE8" w:themeFill="accent5" w:themeFillTint="66"/>
          </w:tcPr>
          <w:p w:rsidR="00A160E0" w:rsidRDefault="00343415" w:rsidP="00A843B0">
            <w:pPr>
              <w:jc w:val="center"/>
            </w:pPr>
            <w:r>
              <w:rPr>
                <w:rFonts w:eastAsia="Calibri" w:cs="Arial"/>
                <w:sz w:val="18"/>
                <w:szCs w:val="18"/>
              </w:rPr>
              <w:t>88.5</w:t>
            </w:r>
            <w:r w:rsidR="00A160E0" w:rsidRPr="00154B64">
              <w:rPr>
                <w:rFonts w:eastAsia="Calibri" w:cs="Arial"/>
                <w:sz w:val="18"/>
                <w:szCs w:val="18"/>
              </w:rPr>
              <w:t>%</w:t>
            </w:r>
          </w:p>
        </w:tc>
        <w:tc>
          <w:tcPr>
            <w:tcW w:w="1276" w:type="dxa"/>
            <w:shd w:val="clear" w:color="auto" w:fill="B6DDE8" w:themeFill="accent5" w:themeFillTint="66"/>
          </w:tcPr>
          <w:p w:rsidR="00A160E0" w:rsidRPr="000A59FD" w:rsidRDefault="006B1E9A" w:rsidP="006B1E9A">
            <w:pPr>
              <w:jc w:val="center"/>
              <w:rPr>
                <w:rFonts w:eastAsia="Calibri" w:cs="Arial"/>
                <w:sz w:val="18"/>
                <w:szCs w:val="18"/>
              </w:rPr>
            </w:pPr>
            <w:r>
              <w:rPr>
                <w:rFonts w:eastAsia="Calibri" w:cs="Arial"/>
                <w:sz w:val="18"/>
                <w:szCs w:val="18"/>
              </w:rPr>
              <w:t>1,077</w:t>
            </w:r>
            <w:r w:rsidR="00343415">
              <w:rPr>
                <w:rFonts w:eastAsia="Calibri" w:cs="Arial"/>
                <w:sz w:val="18"/>
                <w:szCs w:val="18"/>
              </w:rPr>
              <w:t>.5</w:t>
            </w:r>
            <w:r w:rsidR="00A160E0" w:rsidRPr="000A59FD">
              <w:rPr>
                <w:rFonts w:eastAsia="Calibri" w:cs="Arial"/>
                <w:sz w:val="18"/>
                <w:szCs w:val="18"/>
              </w:rPr>
              <w:t xml:space="preserve"> /</w:t>
            </w:r>
            <w:r w:rsidR="00343415">
              <w:rPr>
                <w:rFonts w:eastAsia="Calibri" w:cs="Arial"/>
                <w:sz w:val="18"/>
                <w:szCs w:val="18"/>
              </w:rPr>
              <w:t xml:space="preserve"> 1</w:t>
            </w:r>
            <w:r>
              <w:rPr>
                <w:rFonts w:eastAsia="Calibri" w:cs="Arial"/>
                <w:sz w:val="18"/>
                <w:szCs w:val="18"/>
              </w:rPr>
              <w:t>24</w:t>
            </w:r>
          </w:p>
        </w:tc>
      </w:tr>
      <w:tr w:rsidR="00A160E0" w:rsidRPr="002A4DD7" w:rsidTr="00440975">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62 screening (90%)</w:t>
            </w:r>
          </w:p>
        </w:tc>
        <w:tc>
          <w:tcPr>
            <w:tcW w:w="1417" w:type="dxa"/>
            <w:shd w:val="clear" w:color="auto" w:fill="B6DDE8" w:themeFill="accent5" w:themeFillTint="66"/>
          </w:tcPr>
          <w:p w:rsidR="00A160E0" w:rsidRDefault="004840F7" w:rsidP="007D08EB">
            <w:pPr>
              <w:jc w:val="center"/>
            </w:pPr>
            <w:r>
              <w:rPr>
                <w:rFonts w:eastAsia="Calibri" w:cs="Arial"/>
                <w:sz w:val="18"/>
                <w:szCs w:val="18"/>
              </w:rPr>
              <w:t>100.0%</w:t>
            </w:r>
          </w:p>
        </w:tc>
        <w:tc>
          <w:tcPr>
            <w:tcW w:w="1276" w:type="dxa"/>
            <w:shd w:val="clear" w:color="auto" w:fill="B6DDE8" w:themeFill="accent5" w:themeFillTint="66"/>
          </w:tcPr>
          <w:p w:rsidR="00A160E0" w:rsidRPr="00B019B4" w:rsidRDefault="004840F7" w:rsidP="004840F7">
            <w:pPr>
              <w:jc w:val="center"/>
              <w:rPr>
                <w:rFonts w:eastAsia="Calibri" w:cs="Arial"/>
                <w:sz w:val="18"/>
                <w:szCs w:val="18"/>
              </w:rPr>
            </w:pPr>
            <w:r>
              <w:rPr>
                <w:rFonts w:eastAsia="Calibri" w:cs="Arial"/>
                <w:sz w:val="18"/>
                <w:szCs w:val="18"/>
              </w:rPr>
              <w:t>13.5 / 0</w:t>
            </w:r>
          </w:p>
        </w:tc>
        <w:tc>
          <w:tcPr>
            <w:tcW w:w="1418" w:type="dxa"/>
            <w:shd w:val="clear" w:color="auto" w:fill="B6DDE8" w:themeFill="accent5" w:themeFillTint="66"/>
          </w:tcPr>
          <w:p w:rsidR="00A160E0" w:rsidRPr="00D41BB8" w:rsidRDefault="00A160E0" w:rsidP="00440975">
            <w:pPr>
              <w:jc w:val="center"/>
              <w:rPr>
                <w:rFonts w:eastAsia="Calibri" w:cs="Arial"/>
                <w:sz w:val="18"/>
                <w:szCs w:val="18"/>
              </w:rPr>
            </w:pPr>
            <w:r w:rsidRPr="00D41BB8">
              <w:rPr>
                <w:rFonts w:eastAsia="Calibri" w:cs="Arial"/>
                <w:sz w:val="18"/>
                <w:szCs w:val="18"/>
              </w:rPr>
              <w:t>100.0%</w:t>
            </w:r>
          </w:p>
        </w:tc>
        <w:tc>
          <w:tcPr>
            <w:tcW w:w="1417" w:type="dxa"/>
            <w:shd w:val="clear" w:color="auto" w:fill="B6DDE8" w:themeFill="accent5" w:themeFillTint="66"/>
          </w:tcPr>
          <w:p w:rsidR="00A160E0" w:rsidRPr="00D41BB8" w:rsidRDefault="006B1E9A" w:rsidP="00D41BB8">
            <w:pPr>
              <w:jc w:val="center"/>
              <w:rPr>
                <w:rFonts w:eastAsia="Calibri" w:cs="Arial"/>
                <w:sz w:val="18"/>
                <w:szCs w:val="18"/>
              </w:rPr>
            </w:pPr>
            <w:r>
              <w:rPr>
                <w:rFonts w:eastAsia="Calibri" w:cs="Arial"/>
                <w:sz w:val="18"/>
                <w:szCs w:val="18"/>
              </w:rPr>
              <w:t xml:space="preserve"> 35.5</w:t>
            </w:r>
            <w:r w:rsidR="00A160E0" w:rsidRPr="00D41BB8">
              <w:rPr>
                <w:rFonts w:eastAsia="Calibri" w:cs="Arial"/>
                <w:sz w:val="18"/>
                <w:szCs w:val="18"/>
              </w:rPr>
              <w:t xml:space="preserve"> / 0</w:t>
            </w:r>
          </w:p>
        </w:tc>
        <w:tc>
          <w:tcPr>
            <w:tcW w:w="1134" w:type="dxa"/>
            <w:shd w:val="clear" w:color="auto" w:fill="B6DDE8" w:themeFill="accent5" w:themeFillTint="66"/>
          </w:tcPr>
          <w:p w:rsidR="00A160E0" w:rsidRDefault="006B1E9A" w:rsidP="00A843B0">
            <w:pPr>
              <w:jc w:val="center"/>
            </w:pPr>
            <w:r>
              <w:rPr>
                <w:rFonts w:eastAsia="Calibri" w:cs="Arial"/>
                <w:sz w:val="18"/>
                <w:szCs w:val="18"/>
              </w:rPr>
              <w:t>97.9</w:t>
            </w:r>
            <w:r w:rsidR="00A160E0" w:rsidRPr="00154B64">
              <w:rPr>
                <w:rFonts w:eastAsia="Calibri" w:cs="Arial"/>
                <w:sz w:val="18"/>
                <w:szCs w:val="18"/>
              </w:rPr>
              <w:t>%</w:t>
            </w:r>
          </w:p>
        </w:tc>
        <w:tc>
          <w:tcPr>
            <w:tcW w:w="1276" w:type="dxa"/>
            <w:shd w:val="clear" w:color="auto" w:fill="B6DDE8" w:themeFill="accent5" w:themeFillTint="66"/>
          </w:tcPr>
          <w:p w:rsidR="00A160E0" w:rsidRPr="000A59FD" w:rsidRDefault="00343415" w:rsidP="006B1E9A">
            <w:pPr>
              <w:jc w:val="center"/>
              <w:rPr>
                <w:rFonts w:eastAsia="Calibri" w:cs="Arial"/>
                <w:sz w:val="18"/>
                <w:szCs w:val="18"/>
              </w:rPr>
            </w:pPr>
            <w:r>
              <w:rPr>
                <w:rFonts w:eastAsia="Calibri" w:cs="Arial"/>
                <w:sz w:val="18"/>
                <w:szCs w:val="18"/>
              </w:rPr>
              <w:t>1</w:t>
            </w:r>
            <w:r w:rsidR="006B1E9A">
              <w:rPr>
                <w:rFonts w:eastAsia="Calibri" w:cs="Arial"/>
                <w:sz w:val="18"/>
                <w:szCs w:val="18"/>
              </w:rPr>
              <w:t>70</w:t>
            </w:r>
            <w:r w:rsidR="00A160E0" w:rsidRPr="000A59FD">
              <w:rPr>
                <w:rFonts w:eastAsia="Calibri" w:cs="Arial"/>
                <w:sz w:val="18"/>
                <w:szCs w:val="18"/>
              </w:rPr>
              <w:t xml:space="preserve"> / 3.5</w:t>
            </w:r>
          </w:p>
        </w:tc>
      </w:tr>
      <w:tr w:rsidR="00A160E0" w:rsidRPr="002A4DD7" w:rsidTr="00440975">
        <w:trPr>
          <w:trHeight w:val="315"/>
        </w:trPr>
        <w:tc>
          <w:tcPr>
            <w:tcW w:w="2093" w:type="dxa"/>
            <w:tcMar>
              <w:top w:w="0" w:type="dxa"/>
              <w:left w:w="108" w:type="dxa"/>
              <w:bottom w:w="0" w:type="dxa"/>
              <w:right w:w="108" w:type="dxa"/>
            </w:tcMar>
            <w:hideMark/>
          </w:tcPr>
          <w:p w:rsidR="00A160E0" w:rsidRPr="00A92BB4" w:rsidRDefault="00A160E0" w:rsidP="00440975">
            <w:pPr>
              <w:rPr>
                <w:rFonts w:eastAsia="Calibri" w:cs="Arial"/>
                <w:sz w:val="18"/>
                <w:szCs w:val="18"/>
              </w:rPr>
            </w:pPr>
            <w:r w:rsidRPr="00A92BB4">
              <w:rPr>
                <w:rFonts w:eastAsia="Calibri" w:cs="Arial"/>
                <w:sz w:val="18"/>
                <w:szCs w:val="18"/>
              </w:rPr>
              <w:t>62 consultant upgrade (86%)</w:t>
            </w:r>
          </w:p>
        </w:tc>
        <w:tc>
          <w:tcPr>
            <w:tcW w:w="1417" w:type="dxa"/>
            <w:shd w:val="clear" w:color="auto" w:fill="B6DDE8" w:themeFill="accent5" w:themeFillTint="66"/>
          </w:tcPr>
          <w:p w:rsidR="00A160E0" w:rsidRDefault="007D08EB" w:rsidP="00A843B0">
            <w:pPr>
              <w:jc w:val="center"/>
            </w:pPr>
            <w:r>
              <w:rPr>
                <w:rFonts w:eastAsia="Calibri" w:cs="Arial"/>
                <w:sz w:val="18"/>
                <w:szCs w:val="18"/>
              </w:rPr>
              <w:t>90.4</w:t>
            </w:r>
            <w:r w:rsidR="00A160E0" w:rsidRPr="00154B64">
              <w:rPr>
                <w:rFonts w:eastAsia="Calibri" w:cs="Arial"/>
                <w:sz w:val="18"/>
                <w:szCs w:val="18"/>
              </w:rPr>
              <w:t>%</w:t>
            </w:r>
          </w:p>
        </w:tc>
        <w:tc>
          <w:tcPr>
            <w:tcW w:w="1276" w:type="dxa"/>
            <w:shd w:val="clear" w:color="auto" w:fill="B6DDE8" w:themeFill="accent5" w:themeFillTint="66"/>
          </w:tcPr>
          <w:p w:rsidR="00A160E0" w:rsidRPr="00B019B4" w:rsidRDefault="00A47856" w:rsidP="00BF0AD0">
            <w:pPr>
              <w:jc w:val="center"/>
              <w:rPr>
                <w:rFonts w:eastAsia="Calibri" w:cs="Arial"/>
                <w:sz w:val="18"/>
                <w:szCs w:val="18"/>
              </w:rPr>
            </w:pPr>
            <w:r>
              <w:rPr>
                <w:rFonts w:eastAsia="Calibri" w:cs="Arial"/>
                <w:sz w:val="18"/>
                <w:szCs w:val="18"/>
              </w:rPr>
              <w:t>41</w:t>
            </w:r>
            <w:r w:rsidR="00A160E0" w:rsidRPr="00B019B4">
              <w:rPr>
                <w:rFonts w:eastAsia="Calibri" w:cs="Arial"/>
                <w:sz w:val="18"/>
                <w:szCs w:val="18"/>
              </w:rPr>
              <w:t xml:space="preserve">.5 / </w:t>
            </w:r>
            <w:r w:rsidR="00BF0AD0">
              <w:rPr>
                <w:rFonts w:eastAsia="Calibri" w:cs="Arial"/>
                <w:sz w:val="18"/>
                <w:szCs w:val="18"/>
              </w:rPr>
              <w:t>4</w:t>
            </w:r>
          </w:p>
        </w:tc>
        <w:tc>
          <w:tcPr>
            <w:tcW w:w="1418" w:type="dxa"/>
            <w:shd w:val="clear" w:color="auto" w:fill="B6DDE8" w:themeFill="accent5" w:themeFillTint="66"/>
          </w:tcPr>
          <w:p w:rsidR="00A160E0" w:rsidRPr="00D41BB8" w:rsidRDefault="006B1E9A" w:rsidP="00962D8C">
            <w:pPr>
              <w:jc w:val="center"/>
              <w:rPr>
                <w:rFonts w:eastAsia="Calibri" w:cs="Arial"/>
                <w:sz w:val="18"/>
                <w:szCs w:val="18"/>
              </w:rPr>
            </w:pPr>
            <w:r>
              <w:rPr>
                <w:rFonts w:eastAsia="Calibri" w:cs="Arial"/>
                <w:sz w:val="18"/>
                <w:szCs w:val="18"/>
              </w:rPr>
              <w:t>90.5</w:t>
            </w:r>
            <w:r w:rsidR="00A160E0" w:rsidRPr="00D41BB8">
              <w:rPr>
                <w:rFonts w:eastAsia="Calibri" w:cs="Arial"/>
                <w:sz w:val="18"/>
                <w:szCs w:val="18"/>
              </w:rPr>
              <w:t>%</w:t>
            </w:r>
          </w:p>
        </w:tc>
        <w:tc>
          <w:tcPr>
            <w:tcW w:w="1417" w:type="dxa"/>
            <w:shd w:val="clear" w:color="auto" w:fill="B6DDE8" w:themeFill="accent5" w:themeFillTint="66"/>
          </w:tcPr>
          <w:p w:rsidR="00A160E0" w:rsidRPr="00D41BB8" w:rsidRDefault="006B1E9A" w:rsidP="006B1E9A">
            <w:pPr>
              <w:jc w:val="center"/>
              <w:rPr>
                <w:rFonts w:eastAsia="Calibri" w:cs="Arial"/>
                <w:sz w:val="18"/>
                <w:szCs w:val="18"/>
              </w:rPr>
            </w:pPr>
            <w:r>
              <w:rPr>
                <w:rFonts w:eastAsia="Calibri" w:cs="Arial"/>
                <w:sz w:val="18"/>
                <w:szCs w:val="18"/>
              </w:rPr>
              <w:t>134.5</w:t>
            </w:r>
            <w:r w:rsidR="00A160E0" w:rsidRPr="00D41BB8">
              <w:rPr>
                <w:rFonts w:eastAsia="Calibri" w:cs="Arial"/>
                <w:sz w:val="18"/>
                <w:szCs w:val="18"/>
              </w:rPr>
              <w:t xml:space="preserve"> / </w:t>
            </w:r>
            <w:r>
              <w:rPr>
                <w:rFonts w:eastAsia="Calibri" w:cs="Arial"/>
                <w:sz w:val="18"/>
                <w:szCs w:val="18"/>
              </w:rPr>
              <w:t>13</w:t>
            </w:r>
          </w:p>
        </w:tc>
        <w:tc>
          <w:tcPr>
            <w:tcW w:w="1134" w:type="dxa"/>
            <w:shd w:val="clear" w:color="auto" w:fill="B6DDE8" w:themeFill="accent5" w:themeFillTint="66"/>
          </w:tcPr>
          <w:p w:rsidR="00A160E0" w:rsidRDefault="006B1E9A" w:rsidP="00A843B0">
            <w:pPr>
              <w:jc w:val="center"/>
            </w:pPr>
            <w:r>
              <w:rPr>
                <w:rFonts w:eastAsia="Calibri" w:cs="Arial"/>
                <w:sz w:val="18"/>
                <w:szCs w:val="18"/>
              </w:rPr>
              <w:t>95.1</w:t>
            </w:r>
            <w:r w:rsidR="00A160E0" w:rsidRPr="00154B64">
              <w:rPr>
                <w:rFonts w:eastAsia="Calibri" w:cs="Arial"/>
                <w:sz w:val="18"/>
                <w:szCs w:val="18"/>
              </w:rPr>
              <w:t>%</w:t>
            </w:r>
          </w:p>
        </w:tc>
        <w:tc>
          <w:tcPr>
            <w:tcW w:w="1276" w:type="dxa"/>
            <w:shd w:val="clear" w:color="auto" w:fill="B6DDE8" w:themeFill="accent5" w:themeFillTint="66"/>
          </w:tcPr>
          <w:p w:rsidR="00A160E0" w:rsidRPr="000A59FD" w:rsidRDefault="00343415" w:rsidP="006B1E9A">
            <w:pPr>
              <w:jc w:val="center"/>
              <w:rPr>
                <w:rFonts w:eastAsia="Calibri" w:cs="Arial"/>
                <w:sz w:val="18"/>
                <w:szCs w:val="18"/>
              </w:rPr>
            </w:pPr>
            <w:r>
              <w:rPr>
                <w:rFonts w:eastAsia="Calibri" w:cs="Arial"/>
                <w:sz w:val="18"/>
                <w:szCs w:val="18"/>
              </w:rPr>
              <w:t>4</w:t>
            </w:r>
            <w:r w:rsidR="006B1E9A">
              <w:rPr>
                <w:rFonts w:eastAsia="Calibri" w:cs="Arial"/>
                <w:sz w:val="18"/>
                <w:szCs w:val="18"/>
              </w:rPr>
              <w:t>61</w:t>
            </w:r>
            <w:r>
              <w:rPr>
                <w:rFonts w:eastAsia="Calibri" w:cs="Arial"/>
                <w:sz w:val="18"/>
                <w:szCs w:val="18"/>
              </w:rPr>
              <w:t xml:space="preserve"> / </w:t>
            </w:r>
            <w:r w:rsidR="006B1E9A">
              <w:rPr>
                <w:rFonts w:eastAsia="Calibri" w:cs="Arial"/>
                <w:sz w:val="18"/>
                <w:szCs w:val="18"/>
              </w:rPr>
              <w:t>22</w:t>
            </w:r>
            <w:r w:rsidR="00A160E0" w:rsidRPr="000A59FD">
              <w:rPr>
                <w:rFonts w:eastAsia="Calibri" w:cs="Arial"/>
                <w:sz w:val="18"/>
                <w:szCs w:val="18"/>
              </w:rPr>
              <w:t>.5</w:t>
            </w:r>
          </w:p>
        </w:tc>
      </w:tr>
    </w:tbl>
    <w:p w:rsidR="00F71604" w:rsidRDefault="00F71604" w:rsidP="009A73BC">
      <w:pPr>
        <w:jc w:val="center"/>
        <w:rPr>
          <w:b/>
        </w:rPr>
      </w:pPr>
    </w:p>
    <w:p w:rsidR="0073022B" w:rsidRPr="009A73BC" w:rsidRDefault="009A73BC" w:rsidP="009A73BC">
      <w:pPr>
        <w:jc w:val="center"/>
        <w:rPr>
          <w:b/>
        </w:rPr>
      </w:pPr>
      <w:r w:rsidRPr="009A73BC">
        <w:rPr>
          <w:b/>
        </w:rPr>
        <w:t>Table 2</w:t>
      </w:r>
      <w:r w:rsidR="00DC5C1C">
        <w:rPr>
          <w:b/>
        </w:rPr>
        <w:t xml:space="preserve"> </w:t>
      </w:r>
    </w:p>
    <w:p w:rsidR="00E43758" w:rsidRDefault="00A1312A">
      <w:r>
        <w:rPr>
          <w:noProof/>
          <w:lang w:eastAsia="en-GB"/>
        </w:rPr>
        <w:drawing>
          <wp:inline distT="0" distB="0" distL="0" distR="0" wp14:anchorId="780FA0E0" wp14:editId="13205F1F">
            <wp:extent cx="6172200" cy="28575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02EA9" w:rsidRDefault="00102EA9"/>
    <w:p w:rsidR="00564D1B" w:rsidRDefault="009A73BC" w:rsidP="00564D1B">
      <w:pPr>
        <w:jc w:val="center"/>
        <w:rPr>
          <w:b/>
        </w:rPr>
      </w:pPr>
      <w:r>
        <w:rPr>
          <w:b/>
        </w:rPr>
        <w:t>T</w:t>
      </w:r>
      <w:r w:rsidR="00482949">
        <w:rPr>
          <w:b/>
        </w:rPr>
        <w:t>able 3</w:t>
      </w:r>
    </w:p>
    <w:p w:rsidR="00C950BF" w:rsidRDefault="00F36281" w:rsidP="00564D1B">
      <w:pPr>
        <w:jc w:val="center"/>
        <w:rPr>
          <w:b/>
        </w:rPr>
      </w:pPr>
      <w:r>
        <w:rPr>
          <w:b/>
        </w:rPr>
        <w:t>East Lancashire and BwD CCGs</w:t>
      </w:r>
      <w:r w:rsidR="00765891">
        <w:rPr>
          <w:b/>
        </w:rPr>
        <w:t xml:space="preserve">: </w:t>
      </w:r>
      <w:r w:rsidR="00D17C1F">
        <w:rPr>
          <w:b/>
        </w:rPr>
        <w:t>62 day standard performan</w:t>
      </w:r>
      <w:r w:rsidR="00482949">
        <w:rPr>
          <w:b/>
        </w:rPr>
        <w:t>ce Mar</w:t>
      </w:r>
      <w:r w:rsidR="00D466E3">
        <w:rPr>
          <w:b/>
        </w:rPr>
        <w:t xml:space="preserve"> 15</w:t>
      </w:r>
      <w:r w:rsidR="00D17C1F">
        <w:rPr>
          <w:b/>
        </w:rPr>
        <w:t xml:space="preserve"> – </w:t>
      </w:r>
      <w:r w:rsidR="00482949">
        <w:rPr>
          <w:b/>
        </w:rPr>
        <w:t>Mar</w:t>
      </w:r>
      <w:r w:rsidR="00D466E3">
        <w:rPr>
          <w:b/>
        </w:rPr>
        <w:t xml:space="preserve"> 16</w:t>
      </w:r>
      <w:r w:rsidR="00D17C1F">
        <w:rPr>
          <w:b/>
        </w:rPr>
        <w:t xml:space="preserve"> </w:t>
      </w:r>
    </w:p>
    <w:p w:rsidR="00457F24" w:rsidRDefault="00457F24" w:rsidP="00564D1B">
      <w:pPr>
        <w:jc w:val="center"/>
        <w:rPr>
          <w:b/>
        </w:rPr>
      </w:pPr>
    </w:p>
    <w:p w:rsidR="00457F24" w:rsidRDefault="00482949" w:rsidP="00564D1B">
      <w:pPr>
        <w:jc w:val="center"/>
        <w:rPr>
          <w:noProof/>
          <w:lang w:eastAsia="en-GB"/>
        </w:rPr>
      </w:pPr>
      <w:r>
        <w:rPr>
          <w:noProof/>
          <w:lang w:eastAsia="en-GB"/>
        </w:rPr>
        <w:drawing>
          <wp:inline distT="0" distB="0" distL="0" distR="0" wp14:anchorId="4CDE79ED" wp14:editId="7569A4A9">
            <wp:extent cx="5886450" cy="3238500"/>
            <wp:effectExtent l="0" t="0" r="19050" b="1905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82949" w:rsidRDefault="00482949" w:rsidP="00564D1B">
      <w:pPr>
        <w:jc w:val="center"/>
        <w:rPr>
          <w:noProof/>
          <w:lang w:eastAsia="en-GB"/>
        </w:rPr>
      </w:pPr>
    </w:p>
    <w:p w:rsidR="00482949" w:rsidRDefault="00482949" w:rsidP="00564D1B">
      <w:pPr>
        <w:jc w:val="center"/>
        <w:rPr>
          <w:b/>
        </w:rPr>
      </w:pPr>
      <w:r>
        <w:rPr>
          <w:noProof/>
          <w:lang w:eastAsia="en-GB"/>
        </w:rPr>
        <w:drawing>
          <wp:inline distT="0" distB="0" distL="0" distR="0" wp14:anchorId="1B7B4F33" wp14:editId="611A3121">
            <wp:extent cx="5886450" cy="3810000"/>
            <wp:effectExtent l="0" t="0" r="19050" b="1905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57F24" w:rsidRDefault="00457F24" w:rsidP="00564D1B">
      <w:pPr>
        <w:jc w:val="center"/>
        <w:rPr>
          <w:b/>
        </w:rPr>
      </w:pPr>
    </w:p>
    <w:p w:rsidR="005A0EC0" w:rsidRDefault="005A0EC0" w:rsidP="00564D1B">
      <w:pPr>
        <w:jc w:val="center"/>
        <w:rPr>
          <w:b/>
        </w:rPr>
      </w:pPr>
    </w:p>
    <w:p w:rsidR="00DD751B" w:rsidRPr="00812EAB" w:rsidRDefault="00B4475C" w:rsidP="00500B26">
      <w:pPr>
        <w:ind w:left="426"/>
        <w:rPr>
          <w:highlight w:val="yellow"/>
        </w:rPr>
      </w:pPr>
      <w:r>
        <w:t>Table 4</w:t>
      </w:r>
      <w:r w:rsidR="004364F1">
        <w:t xml:space="preserve"> below</w:t>
      </w:r>
      <w:r w:rsidR="00DD751B" w:rsidRPr="00757107">
        <w:t xml:space="preserve"> provide</w:t>
      </w:r>
      <w:r w:rsidR="00DD751B">
        <w:t>s</w:t>
      </w:r>
      <w:r w:rsidR="00DD751B" w:rsidRPr="00757107">
        <w:t xml:space="preserve"> information on performance</w:t>
      </w:r>
      <w:r w:rsidR="00DD751B">
        <w:t xml:space="preserve"> by provider</w:t>
      </w:r>
      <w:r w:rsidR="00DD751B" w:rsidRPr="00757107">
        <w:t xml:space="preserve">. </w:t>
      </w:r>
      <w:r w:rsidR="00DD751B">
        <w:t>This position is based on current breach allocation process and the application of the 42 day rule may alter this</w:t>
      </w:r>
      <w:r w:rsidR="00813D8D">
        <w:t>.</w:t>
      </w:r>
    </w:p>
    <w:p w:rsidR="00AF6850" w:rsidRDefault="00AF6850" w:rsidP="00BF2789">
      <w:pPr>
        <w:ind w:right="-330"/>
        <w:jc w:val="center"/>
        <w:rPr>
          <w:b/>
        </w:rPr>
      </w:pPr>
    </w:p>
    <w:p w:rsidR="00564D1B" w:rsidRDefault="00B4475C" w:rsidP="00BF2789">
      <w:pPr>
        <w:ind w:right="-330"/>
        <w:jc w:val="center"/>
        <w:rPr>
          <w:b/>
        </w:rPr>
      </w:pPr>
      <w:r>
        <w:rPr>
          <w:b/>
        </w:rPr>
        <w:lastRenderedPageBreak/>
        <w:t>Table 4</w:t>
      </w:r>
    </w:p>
    <w:p w:rsidR="00085BF1" w:rsidRDefault="00085BF1" w:rsidP="00BF2789">
      <w:pPr>
        <w:ind w:right="-330"/>
        <w:jc w:val="center"/>
        <w:rPr>
          <w:b/>
        </w:rPr>
      </w:pPr>
    </w:p>
    <w:p w:rsidR="008A3785" w:rsidRDefault="00FE1715" w:rsidP="00500B26">
      <w:pPr>
        <w:ind w:left="-284"/>
        <w:jc w:val="center"/>
        <w:rPr>
          <w:b/>
        </w:rPr>
      </w:pPr>
      <w:r w:rsidRPr="00564D1B">
        <w:rPr>
          <w:b/>
        </w:rPr>
        <w:t>East Lancashire CCG</w:t>
      </w:r>
      <w:r w:rsidR="00E155C1">
        <w:rPr>
          <w:b/>
        </w:rPr>
        <w:t xml:space="preserve"> and BwD CCG</w:t>
      </w:r>
      <w:r w:rsidRPr="00564D1B">
        <w:rPr>
          <w:b/>
        </w:rPr>
        <w:t xml:space="preserve">: </w:t>
      </w:r>
      <w:r w:rsidR="00527AF6" w:rsidRPr="00564D1B">
        <w:rPr>
          <w:b/>
        </w:rPr>
        <w:t>62 day performance</w:t>
      </w:r>
      <w:r w:rsidR="00E2695B" w:rsidRPr="00564D1B">
        <w:rPr>
          <w:b/>
        </w:rPr>
        <w:t xml:space="preserve"> (target 85%)</w:t>
      </w:r>
      <w:r w:rsidR="00034227" w:rsidRPr="00564D1B">
        <w:rPr>
          <w:b/>
        </w:rPr>
        <w:t xml:space="preserve"> based on </w:t>
      </w:r>
      <w:r w:rsidR="00527AF6" w:rsidRPr="00564D1B">
        <w:rPr>
          <w:b/>
        </w:rPr>
        <w:t>provider</w:t>
      </w:r>
    </w:p>
    <w:p w:rsidR="003465BB" w:rsidRPr="00564D1B" w:rsidRDefault="003465BB" w:rsidP="00564D1B">
      <w:pPr>
        <w:jc w:val="center"/>
        <w:rPr>
          <w:b/>
        </w:rPr>
      </w:pPr>
    </w:p>
    <w:tbl>
      <w:tblPr>
        <w:tblW w:w="0" w:type="auto"/>
        <w:jc w:val="center"/>
        <w:tblInd w:w="-91" w:type="dxa"/>
        <w:tblLook w:val="04A0" w:firstRow="1" w:lastRow="0" w:firstColumn="1" w:lastColumn="0" w:noHBand="0" w:noVBand="1"/>
      </w:tblPr>
      <w:tblGrid>
        <w:gridCol w:w="3911"/>
        <w:gridCol w:w="1192"/>
        <w:gridCol w:w="1275"/>
        <w:gridCol w:w="1705"/>
      </w:tblGrid>
      <w:tr w:rsidR="003465BB" w:rsidRPr="003465BB" w:rsidTr="005E728E">
        <w:trPr>
          <w:trHeight w:val="255"/>
          <w:jc w:val="center"/>
        </w:trPr>
        <w:tc>
          <w:tcPr>
            <w:tcW w:w="39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465BB" w:rsidRPr="005E728E" w:rsidRDefault="005E728E" w:rsidP="00DE6BCC">
            <w:pPr>
              <w:jc w:val="center"/>
              <w:rPr>
                <w:rFonts w:eastAsia="Times New Roman" w:cs="Arial"/>
                <w:b/>
                <w:bCs/>
                <w:color w:val="000000"/>
                <w:lang w:eastAsia="en-GB"/>
              </w:rPr>
            </w:pPr>
            <w:r w:rsidRPr="005E728E">
              <w:rPr>
                <w:rFonts w:eastAsia="Times New Roman" w:cs="Arial"/>
                <w:b/>
                <w:bCs/>
                <w:color w:val="000000"/>
                <w:lang w:eastAsia="en-GB"/>
              </w:rPr>
              <w:t xml:space="preserve">Cumulative to </w:t>
            </w:r>
            <w:r w:rsidR="00B4475C" w:rsidRPr="005E728E">
              <w:rPr>
                <w:rFonts w:eastAsia="Times New Roman" w:cs="Arial"/>
                <w:b/>
                <w:bCs/>
                <w:color w:val="000000"/>
                <w:lang w:eastAsia="en-GB"/>
              </w:rPr>
              <w:t>March</w:t>
            </w:r>
            <w:r w:rsidR="00DE6BCC" w:rsidRPr="005E728E">
              <w:rPr>
                <w:rFonts w:eastAsia="Times New Roman" w:cs="Arial"/>
                <w:b/>
                <w:bCs/>
                <w:color w:val="000000"/>
                <w:lang w:eastAsia="en-GB"/>
              </w:rPr>
              <w:t xml:space="preserve"> </w:t>
            </w:r>
            <w:r w:rsidR="003465BB" w:rsidRPr="005E728E">
              <w:rPr>
                <w:rFonts w:eastAsia="Times New Roman" w:cs="Arial"/>
                <w:b/>
                <w:bCs/>
                <w:color w:val="000000"/>
                <w:lang w:eastAsia="en-GB"/>
              </w:rPr>
              <w:t>201</w:t>
            </w:r>
            <w:r w:rsidR="00DE6BCC" w:rsidRPr="005E728E">
              <w:rPr>
                <w:rFonts w:eastAsia="Times New Roman" w:cs="Arial"/>
                <w:b/>
                <w:bCs/>
                <w:color w:val="000000"/>
                <w:lang w:eastAsia="en-GB"/>
              </w:rPr>
              <w:t>6</w:t>
            </w:r>
            <w:r w:rsidRPr="005E728E">
              <w:rPr>
                <w:rFonts w:eastAsia="Times New Roman" w:cs="Arial"/>
                <w:b/>
                <w:bCs/>
                <w:color w:val="000000"/>
                <w:lang w:eastAsia="en-GB"/>
              </w:rPr>
              <w:t xml:space="preserve"> -</w:t>
            </w:r>
            <w:r w:rsidR="003465BB" w:rsidRPr="005E728E">
              <w:rPr>
                <w:rFonts w:eastAsia="Times New Roman" w:cs="Arial"/>
                <w:b/>
                <w:bCs/>
                <w:color w:val="000000"/>
                <w:lang w:eastAsia="en-GB"/>
              </w:rPr>
              <w:t xml:space="preserve"> EL CCG</w:t>
            </w:r>
          </w:p>
        </w:tc>
        <w:tc>
          <w:tcPr>
            <w:tcW w:w="11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465BB" w:rsidRPr="003465BB" w:rsidRDefault="003465BB" w:rsidP="00500B26">
            <w:pPr>
              <w:jc w:val="center"/>
              <w:rPr>
                <w:rFonts w:eastAsia="Times New Roman" w:cs="Arial"/>
                <w:b/>
                <w:bCs/>
                <w:color w:val="000000"/>
                <w:lang w:eastAsia="en-GB"/>
              </w:rPr>
            </w:pPr>
            <w:r w:rsidRPr="003465BB">
              <w:rPr>
                <w:rFonts w:eastAsia="Times New Roman" w:cs="Arial"/>
                <w:b/>
                <w:bCs/>
                <w:color w:val="000000"/>
                <w:lang w:eastAsia="en-GB"/>
              </w:rPr>
              <w:t>Treated</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465BB" w:rsidRPr="003465BB" w:rsidRDefault="003465BB" w:rsidP="00500B26">
            <w:pPr>
              <w:jc w:val="center"/>
              <w:rPr>
                <w:rFonts w:eastAsia="Times New Roman" w:cs="Arial"/>
                <w:b/>
                <w:bCs/>
                <w:color w:val="000000"/>
                <w:lang w:eastAsia="en-GB"/>
              </w:rPr>
            </w:pPr>
            <w:r w:rsidRPr="003465BB">
              <w:rPr>
                <w:rFonts w:eastAsia="Times New Roman" w:cs="Arial"/>
                <w:b/>
                <w:bCs/>
                <w:color w:val="000000"/>
                <w:lang w:eastAsia="en-GB"/>
              </w:rPr>
              <w:t>Breaches</w:t>
            </w:r>
          </w:p>
        </w:tc>
        <w:tc>
          <w:tcPr>
            <w:tcW w:w="17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465BB" w:rsidRPr="003465BB" w:rsidRDefault="003465BB" w:rsidP="00500B26">
            <w:pPr>
              <w:jc w:val="center"/>
              <w:rPr>
                <w:rFonts w:eastAsia="Times New Roman" w:cs="Arial"/>
                <w:b/>
                <w:bCs/>
                <w:color w:val="000000"/>
                <w:lang w:eastAsia="en-GB"/>
              </w:rPr>
            </w:pPr>
            <w:r w:rsidRPr="003465BB">
              <w:rPr>
                <w:rFonts w:eastAsia="Times New Roman" w:cs="Arial"/>
                <w:b/>
                <w:bCs/>
                <w:color w:val="000000"/>
                <w:lang w:eastAsia="en-GB"/>
              </w:rPr>
              <w:t>% achieved</w:t>
            </w:r>
          </w:p>
        </w:tc>
      </w:tr>
      <w:tr w:rsidR="003465BB" w:rsidRPr="003465BB" w:rsidTr="005E728E">
        <w:trPr>
          <w:trHeight w:val="255"/>
          <w:jc w:val="center"/>
        </w:trPr>
        <w:tc>
          <w:tcPr>
            <w:tcW w:w="3911" w:type="dxa"/>
            <w:vMerge/>
            <w:tcBorders>
              <w:top w:val="single" w:sz="8" w:space="0" w:color="auto"/>
              <w:left w:val="single" w:sz="8" w:space="0" w:color="auto"/>
              <w:bottom w:val="single" w:sz="8" w:space="0" w:color="000000"/>
              <w:right w:val="single" w:sz="8" w:space="0" w:color="auto"/>
            </w:tcBorders>
            <w:vAlign w:val="center"/>
            <w:hideMark/>
          </w:tcPr>
          <w:p w:rsidR="003465BB" w:rsidRPr="003465BB" w:rsidRDefault="003465BB" w:rsidP="002B4171">
            <w:pPr>
              <w:rPr>
                <w:rFonts w:eastAsia="Times New Roman" w:cs="Arial"/>
                <w:b/>
                <w:bCs/>
                <w:color w:val="000000"/>
                <w:lang w:eastAsia="en-GB"/>
              </w:rPr>
            </w:pPr>
          </w:p>
        </w:tc>
        <w:tc>
          <w:tcPr>
            <w:tcW w:w="1192" w:type="dxa"/>
            <w:vMerge/>
            <w:tcBorders>
              <w:top w:val="single" w:sz="8" w:space="0" w:color="auto"/>
              <w:left w:val="single" w:sz="8" w:space="0" w:color="auto"/>
              <w:bottom w:val="single" w:sz="8" w:space="0" w:color="000000"/>
              <w:right w:val="single" w:sz="8" w:space="0" w:color="auto"/>
            </w:tcBorders>
            <w:vAlign w:val="center"/>
            <w:hideMark/>
          </w:tcPr>
          <w:p w:rsidR="003465BB" w:rsidRPr="003465BB" w:rsidRDefault="003465BB" w:rsidP="002B4171">
            <w:pPr>
              <w:rPr>
                <w:rFonts w:eastAsia="Times New Roman" w:cs="Arial"/>
                <w:b/>
                <w:bCs/>
                <w:color w:val="000000"/>
                <w:lang w:eastAsia="en-GB"/>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3465BB" w:rsidRPr="003465BB" w:rsidRDefault="003465BB" w:rsidP="002B4171">
            <w:pPr>
              <w:rPr>
                <w:rFonts w:eastAsia="Times New Roman" w:cs="Arial"/>
                <w:b/>
                <w:bCs/>
                <w:color w:val="000000"/>
                <w:lang w:eastAsia="en-GB"/>
              </w:rPr>
            </w:pPr>
          </w:p>
        </w:tc>
        <w:tc>
          <w:tcPr>
            <w:tcW w:w="1705" w:type="dxa"/>
            <w:vMerge/>
            <w:tcBorders>
              <w:top w:val="single" w:sz="8" w:space="0" w:color="auto"/>
              <w:left w:val="single" w:sz="8" w:space="0" w:color="auto"/>
              <w:bottom w:val="single" w:sz="8" w:space="0" w:color="000000"/>
              <w:right w:val="single" w:sz="8" w:space="0" w:color="auto"/>
            </w:tcBorders>
            <w:vAlign w:val="center"/>
            <w:hideMark/>
          </w:tcPr>
          <w:p w:rsidR="003465BB" w:rsidRPr="003465BB" w:rsidRDefault="003465BB" w:rsidP="002B4171">
            <w:pPr>
              <w:rPr>
                <w:rFonts w:eastAsia="Times New Roman" w:cs="Arial"/>
                <w:b/>
                <w:bCs/>
                <w:color w:val="000000"/>
                <w:lang w:eastAsia="en-GB"/>
              </w:rPr>
            </w:pPr>
          </w:p>
        </w:tc>
      </w:tr>
      <w:tr w:rsidR="003465BB" w:rsidRPr="003465BB" w:rsidTr="005E728E">
        <w:trPr>
          <w:trHeight w:val="255"/>
          <w:jc w:val="center"/>
        </w:trPr>
        <w:tc>
          <w:tcPr>
            <w:tcW w:w="3911" w:type="dxa"/>
            <w:vMerge w:val="restart"/>
            <w:tcBorders>
              <w:top w:val="nil"/>
              <w:left w:val="single" w:sz="8" w:space="0" w:color="auto"/>
              <w:bottom w:val="single" w:sz="8" w:space="0" w:color="000000"/>
              <w:right w:val="single" w:sz="8" w:space="0" w:color="auto"/>
            </w:tcBorders>
            <w:shd w:val="clear" w:color="auto" w:fill="auto"/>
            <w:vAlign w:val="center"/>
            <w:hideMark/>
          </w:tcPr>
          <w:p w:rsidR="003465BB" w:rsidRPr="003465BB" w:rsidRDefault="003465BB" w:rsidP="00500B26">
            <w:pPr>
              <w:jc w:val="center"/>
              <w:rPr>
                <w:rFonts w:eastAsia="Times New Roman" w:cs="Arial"/>
                <w:color w:val="000000"/>
                <w:lang w:eastAsia="en-GB"/>
              </w:rPr>
            </w:pPr>
            <w:r w:rsidRPr="003465BB">
              <w:rPr>
                <w:rFonts w:eastAsia="Times New Roman" w:cs="Arial"/>
                <w:color w:val="000000"/>
                <w:lang w:eastAsia="en-GB"/>
              </w:rPr>
              <w:t>All 62 day pathway patients</w:t>
            </w:r>
          </w:p>
        </w:tc>
        <w:tc>
          <w:tcPr>
            <w:tcW w:w="1192" w:type="dxa"/>
            <w:vMerge w:val="restart"/>
            <w:tcBorders>
              <w:top w:val="nil"/>
              <w:left w:val="single" w:sz="8" w:space="0" w:color="auto"/>
              <w:bottom w:val="single" w:sz="8" w:space="0" w:color="000000"/>
              <w:right w:val="single" w:sz="8" w:space="0" w:color="auto"/>
            </w:tcBorders>
            <w:shd w:val="clear" w:color="auto" w:fill="auto"/>
            <w:vAlign w:val="center"/>
          </w:tcPr>
          <w:p w:rsidR="00DE6BCC" w:rsidRPr="003465BB" w:rsidRDefault="00B4475C" w:rsidP="00500B26">
            <w:pPr>
              <w:jc w:val="center"/>
              <w:rPr>
                <w:rFonts w:eastAsia="Times New Roman" w:cs="Arial"/>
                <w:color w:val="000000"/>
                <w:lang w:eastAsia="en-GB"/>
              </w:rPr>
            </w:pPr>
            <w:r>
              <w:rPr>
                <w:rFonts w:eastAsia="Times New Roman" w:cs="Arial"/>
                <w:color w:val="000000"/>
                <w:lang w:eastAsia="en-GB"/>
              </w:rPr>
              <w:t>924</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120</w:t>
            </w:r>
          </w:p>
        </w:tc>
        <w:tc>
          <w:tcPr>
            <w:tcW w:w="170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DE6BCC">
            <w:pPr>
              <w:jc w:val="center"/>
              <w:rPr>
                <w:rFonts w:eastAsia="Times New Roman" w:cs="Arial"/>
                <w:color w:val="000000"/>
                <w:lang w:eastAsia="en-GB"/>
              </w:rPr>
            </w:pPr>
            <w:r>
              <w:rPr>
                <w:rFonts w:eastAsia="Times New Roman" w:cs="Arial"/>
                <w:color w:val="000000"/>
                <w:lang w:eastAsia="en-GB"/>
              </w:rPr>
              <w:t>87.01</w:t>
            </w:r>
            <w:r w:rsidR="002749CD">
              <w:rPr>
                <w:rFonts w:eastAsia="Times New Roman" w:cs="Arial"/>
                <w:color w:val="000000"/>
                <w:lang w:eastAsia="en-GB"/>
              </w:rPr>
              <w:t>%</w:t>
            </w:r>
          </w:p>
        </w:tc>
      </w:tr>
      <w:tr w:rsidR="003465BB" w:rsidRPr="003465BB" w:rsidTr="005E728E">
        <w:trPr>
          <w:trHeight w:val="255"/>
          <w:jc w:val="center"/>
        </w:trPr>
        <w:tc>
          <w:tcPr>
            <w:tcW w:w="3911" w:type="dxa"/>
            <w:vMerge/>
            <w:tcBorders>
              <w:top w:val="nil"/>
              <w:left w:val="single" w:sz="8" w:space="0" w:color="auto"/>
              <w:bottom w:val="single" w:sz="8" w:space="0" w:color="000000"/>
              <w:right w:val="single" w:sz="8" w:space="0" w:color="auto"/>
            </w:tcBorders>
            <w:vAlign w:val="center"/>
            <w:hideMark/>
          </w:tcPr>
          <w:p w:rsidR="003465BB" w:rsidRPr="003465BB" w:rsidRDefault="003465BB" w:rsidP="00500B26">
            <w:pPr>
              <w:rPr>
                <w:rFonts w:eastAsia="Times New Roman" w:cs="Arial"/>
                <w:color w:val="000000"/>
                <w:lang w:eastAsia="en-GB"/>
              </w:rPr>
            </w:pPr>
          </w:p>
        </w:tc>
        <w:tc>
          <w:tcPr>
            <w:tcW w:w="1192"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c>
          <w:tcPr>
            <w:tcW w:w="1275"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c>
          <w:tcPr>
            <w:tcW w:w="1705"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r>
      <w:tr w:rsidR="003465BB" w:rsidRPr="003465BB" w:rsidTr="005E728E">
        <w:trPr>
          <w:trHeight w:val="255"/>
          <w:jc w:val="center"/>
        </w:trPr>
        <w:tc>
          <w:tcPr>
            <w:tcW w:w="3911" w:type="dxa"/>
            <w:vMerge w:val="restart"/>
            <w:tcBorders>
              <w:top w:val="nil"/>
              <w:left w:val="single" w:sz="8" w:space="0" w:color="auto"/>
              <w:bottom w:val="single" w:sz="8" w:space="0" w:color="000000"/>
              <w:right w:val="single" w:sz="8" w:space="0" w:color="auto"/>
            </w:tcBorders>
            <w:shd w:val="clear" w:color="auto" w:fill="auto"/>
            <w:vAlign w:val="center"/>
            <w:hideMark/>
          </w:tcPr>
          <w:p w:rsidR="003465BB" w:rsidRPr="003465BB" w:rsidRDefault="003465BB" w:rsidP="00500B26">
            <w:pPr>
              <w:jc w:val="center"/>
              <w:rPr>
                <w:rFonts w:eastAsia="Times New Roman" w:cs="Arial"/>
                <w:color w:val="000000"/>
                <w:lang w:eastAsia="en-GB"/>
              </w:rPr>
            </w:pPr>
            <w:r w:rsidRPr="003465BB">
              <w:rPr>
                <w:rFonts w:eastAsia="Times New Roman" w:cs="Arial"/>
                <w:color w:val="000000"/>
                <w:lang w:eastAsia="en-GB"/>
              </w:rPr>
              <w:t>ELHT sole provider</w:t>
            </w:r>
          </w:p>
        </w:tc>
        <w:tc>
          <w:tcPr>
            <w:tcW w:w="1192"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676</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59</w:t>
            </w:r>
          </w:p>
        </w:tc>
        <w:tc>
          <w:tcPr>
            <w:tcW w:w="170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91.27</w:t>
            </w:r>
            <w:r w:rsidR="002749CD">
              <w:rPr>
                <w:rFonts w:eastAsia="Times New Roman" w:cs="Arial"/>
                <w:color w:val="000000"/>
                <w:lang w:eastAsia="en-GB"/>
              </w:rPr>
              <w:t>%</w:t>
            </w:r>
          </w:p>
        </w:tc>
      </w:tr>
      <w:tr w:rsidR="003465BB" w:rsidRPr="003465BB" w:rsidTr="005E728E">
        <w:trPr>
          <w:trHeight w:val="255"/>
          <w:jc w:val="center"/>
        </w:trPr>
        <w:tc>
          <w:tcPr>
            <w:tcW w:w="3911" w:type="dxa"/>
            <w:vMerge/>
            <w:tcBorders>
              <w:top w:val="nil"/>
              <w:left w:val="single" w:sz="8" w:space="0" w:color="auto"/>
              <w:bottom w:val="single" w:sz="8" w:space="0" w:color="000000"/>
              <w:right w:val="single" w:sz="8" w:space="0" w:color="auto"/>
            </w:tcBorders>
            <w:vAlign w:val="center"/>
            <w:hideMark/>
          </w:tcPr>
          <w:p w:rsidR="003465BB" w:rsidRPr="003465BB" w:rsidRDefault="003465BB" w:rsidP="00500B26">
            <w:pPr>
              <w:rPr>
                <w:rFonts w:eastAsia="Times New Roman" w:cs="Arial"/>
                <w:color w:val="000000"/>
                <w:lang w:eastAsia="en-GB"/>
              </w:rPr>
            </w:pPr>
          </w:p>
        </w:tc>
        <w:tc>
          <w:tcPr>
            <w:tcW w:w="1192"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c>
          <w:tcPr>
            <w:tcW w:w="1275"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c>
          <w:tcPr>
            <w:tcW w:w="1705"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r>
      <w:tr w:rsidR="003465BB" w:rsidRPr="003465BB" w:rsidTr="005E728E">
        <w:trPr>
          <w:trHeight w:val="255"/>
          <w:jc w:val="center"/>
        </w:trPr>
        <w:tc>
          <w:tcPr>
            <w:tcW w:w="3911" w:type="dxa"/>
            <w:vMerge w:val="restart"/>
            <w:tcBorders>
              <w:top w:val="nil"/>
              <w:left w:val="single" w:sz="8" w:space="0" w:color="auto"/>
              <w:bottom w:val="single" w:sz="8" w:space="0" w:color="000000"/>
              <w:right w:val="single" w:sz="8" w:space="0" w:color="auto"/>
            </w:tcBorders>
            <w:shd w:val="clear" w:color="auto" w:fill="auto"/>
            <w:vAlign w:val="center"/>
            <w:hideMark/>
          </w:tcPr>
          <w:p w:rsidR="003465BB" w:rsidRPr="003465BB" w:rsidRDefault="003465BB" w:rsidP="00500B26">
            <w:pPr>
              <w:jc w:val="center"/>
              <w:rPr>
                <w:rFonts w:eastAsia="Times New Roman" w:cs="Arial"/>
                <w:color w:val="000000"/>
                <w:lang w:eastAsia="en-GB"/>
              </w:rPr>
            </w:pPr>
            <w:r w:rsidRPr="003465BB">
              <w:rPr>
                <w:rFonts w:eastAsia="Times New Roman" w:cs="Arial"/>
                <w:color w:val="000000"/>
                <w:lang w:eastAsia="en-GB"/>
              </w:rPr>
              <w:t>ELHT shared provider</w:t>
            </w:r>
          </w:p>
        </w:tc>
        <w:tc>
          <w:tcPr>
            <w:tcW w:w="1192"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139</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45</w:t>
            </w:r>
          </w:p>
        </w:tc>
        <w:tc>
          <w:tcPr>
            <w:tcW w:w="170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67.63</w:t>
            </w:r>
            <w:r w:rsidR="002749CD">
              <w:rPr>
                <w:rFonts w:eastAsia="Times New Roman" w:cs="Arial"/>
                <w:color w:val="000000"/>
                <w:lang w:eastAsia="en-GB"/>
              </w:rPr>
              <w:t>%</w:t>
            </w:r>
          </w:p>
        </w:tc>
      </w:tr>
      <w:tr w:rsidR="003465BB" w:rsidRPr="003465BB" w:rsidTr="005E728E">
        <w:trPr>
          <w:trHeight w:val="255"/>
          <w:jc w:val="center"/>
        </w:trPr>
        <w:tc>
          <w:tcPr>
            <w:tcW w:w="3911" w:type="dxa"/>
            <w:vMerge/>
            <w:tcBorders>
              <w:top w:val="nil"/>
              <w:left w:val="single" w:sz="8" w:space="0" w:color="auto"/>
              <w:bottom w:val="single" w:sz="8" w:space="0" w:color="000000"/>
              <w:right w:val="single" w:sz="8" w:space="0" w:color="auto"/>
            </w:tcBorders>
            <w:vAlign w:val="center"/>
            <w:hideMark/>
          </w:tcPr>
          <w:p w:rsidR="003465BB" w:rsidRPr="003465BB" w:rsidRDefault="003465BB" w:rsidP="00500B26">
            <w:pPr>
              <w:rPr>
                <w:rFonts w:eastAsia="Times New Roman" w:cs="Arial"/>
                <w:color w:val="000000"/>
                <w:lang w:eastAsia="en-GB"/>
              </w:rPr>
            </w:pPr>
          </w:p>
        </w:tc>
        <w:tc>
          <w:tcPr>
            <w:tcW w:w="1192"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c>
          <w:tcPr>
            <w:tcW w:w="1275"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c>
          <w:tcPr>
            <w:tcW w:w="1705" w:type="dxa"/>
            <w:vMerge/>
            <w:tcBorders>
              <w:top w:val="nil"/>
              <w:left w:val="single" w:sz="8" w:space="0" w:color="auto"/>
              <w:bottom w:val="single" w:sz="8" w:space="0" w:color="000000"/>
              <w:right w:val="single" w:sz="8" w:space="0" w:color="auto"/>
            </w:tcBorders>
            <w:vAlign w:val="center"/>
          </w:tcPr>
          <w:p w:rsidR="003465BB" w:rsidRPr="003465BB" w:rsidRDefault="003465BB" w:rsidP="00500B26">
            <w:pPr>
              <w:rPr>
                <w:rFonts w:eastAsia="Times New Roman" w:cs="Arial"/>
                <w:color w:val="000000"/>
                <w:lang w:eastAsia="en-GB"/>
              </w:rPr>
            </w:pPr>
          </w:p>
        </w:tc>
      </w:tr>
      <w:tr w:rsidR="003465BB" w:rsidRPr="003465BB" w:rsidTr="005E728E">
        <w:trPr>
          <w:trHeight w:val="255"/>
          <w:jc w:val="center"/>
        </w:trPr>
        <w:tc>
          <w:tcPr>
            <w:tcW w:w="3911" w:type="dxa"/>
            <w:vMerge w:val="restart"/>
            <w:tcBorders>
              <w:top w:val="nil"/>
              <w:left w:val="single" w:sz="8" w:space="0" w:color="auto"/>
              <w:bottom w:val="single" w:sz="8" w:space="0" w:color="000000"/>
              <w:right w:val="single" w:sz="8" w:space="0" w:color="auto"/>
            </w:tcBorders>
            <w:shd w:val="clear" w:color="auto" w:fill="auto"/>
            <w:vAlign w:val="center"/>
            <w:hideMark/>
          </w:tcPr>
          <w:p w:rsidR="003465BB" w:rsidRPr="003465BB" w:rsidRDefault="003465BB" w:rsidP="00500B26">
            <w:pPr>
              <w:jc w:val="center"/>
              <w:rPr>
                <w:rFonts w:eastAsia="Times New Roman" w:cs="Arial"/>
                <w:color w:val="000000"/>
                <w:lang w:eastAsia="en-GB"/>
              </w:rPr>
            </w:pPr>
            <w:r w:rsidRPr="003465BB">
              <w:rPr>
                <w:rFonts w:eastAsia="Times New Roman" w:cs="Arial"/>
                <w:color w:val="000000"/>
                <w:lang w:eastAsia="en-GB"/>
              </w:rPr>
              <w:t>Other provider – ELHT no input</w:t>
            </w:r>
          </w:p>
        </w:tc>
        <w:tc>
          <w:tcPr>
            <w:tcW w:w="1192"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108</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2749CD" w:rsidP="00500B26">
            <w:pPr>
              <w:jc w:val="center"/>
              <w:rPr>
                <w:rFonts w:eastAsia="Times New Roman" w:cs="Arial"/>
                <w:color w:val="000000"/>
                <w:lang w:eastAsia="en-GB"/>
              </w:rPr>
            </w:pPr>
            <w:r>
              <w:rPr>
                <w:rFonts w:eastAsia="Times New Roman" w:cs="Arial"/>
                <w:color w:val="000000"/>
                <w:lang w:eastAsia="en-GB"/>
              </w:rPr>
              <w:t>16</w:t>
            </w:r>
          </w:p>
        </w:tc>
        <w:tc>
          <w:tcPr>
            <w:tcW w:w="1705" w:type="dxa"/>
            <w:vMerge w:val="restart"/>
            <w:tcBorders>
              <w:top w:val="nil"/>
              <w:left w:val="single" w:sz="8" w:space="0" w:color="auto"/>
              <w:bottom w:val="single" w:sz="8" w:space="0" w:color="000000"/>
              <w:right w:val="single" w:sz="8" w:space="0" w:color="auto"/>
            </w:tcBorders>
            <w:shd w:val="clear" w:color="auto" w:fill="auto"/>
            <w:vAlign w:val="center"/>
          </w:tcPr>
          <w:p w:rsidR="003465BB" w:rsidRPr="003465BB" w:rsidRDefault="00B4475C" w:rsidP="00500B26">
            <w:pPr>
              <w:jc w:val="center"/>
              <w:rPr>
                <w:rFonts w:eastAsia="Times New Roman" w:cs="Arial"/>
                <w:color w:val="000000"/>
                <w:lang w:eastAsia="en-GB"/>
              </w:rPr>
            </w:pPr>
            <w:r>
              <w:rPr>
                <w:rFonts w:eastAsia="Times New Roman" w:cs="Arial"/>
                <w:color w:val="000000"/>
                <w:lang w:eastAsia="en-GB"/>
              </w:rPr>
              <w:t>85.19</w:t>
            </w:r>
            <w:r w:rsidR="002749CD">
              <w:rPr>
                <w:rFonts w:eastAsia="Times New Roman" w:cs="Arial"/>
                <w:color w:val="000000"/>
                <w:lang w:eastAsia="en-GB"/>
              </w:rPr>
              <w:t>%</w:t>
            </w:r>
          </w:p>
        </w:tc>
      </w:tr>
      <w:tr w:rsidR="003465BB" w:rsidRPr="003465BB" w:rsidTr="005E728E">
        <w:trPr>
          <w:trHeight w:val="253"/>
          <w:jc w:val="center"/>
        </w:trPr>
        <w:tc>
          <w:tcPr>
            <w:tcW w:w="3911" w:type="dxa"/>
            <w:vMerge/>
            <w:tcBorders>
              <w:top w:val="nil"/>
              <w:left w:val="single" w:sz="8" w:space="0" w:color="auto"/>
              <w:bottom w:val="single" w:sz="8" w:space="0" w:color="000000"/>
              <w:right w:val="single" w:sz="8" w:space="0" w:color="auto"/>
            </w:tcBorders>
            <w:vAlign w:val="center"/>
            <w:hideMark/>
          </w:tcPr>
          <w:p w:rsidR="003465BB" w:rsidRPr="003465BB" w:rsidRDefault="003465BB" w:rsidP="003465BB">
            <w:pPr>
              <w:rPr>
                <w:rFonts w:eastAsia="Times New Roman" w:cs="Arial"/>
                <w:color w:val="000000"/>
                <w:lang w:eastAsia="en-GB"/>
              </w:rPr>
            </w:pPr>
          </w:p>
        </w:tc>
        <w:tc>
          <w:tcPr>
            <w:tcW w:w="1192" w:type="dxa"/>
            <w:vMerge/>
            <w:tcBorders>
              <w:top w:val="nil"/>
              <w:left w:val="single" w:sz="8" w:space="0" w:color="auto"/>
              <w:bottom w:val="single" w:sz="8" w:space="0" w:color="000000"/>
              <w:right w:val="single" w:sz="8" w:space="0" w:color="auto"/>
            </w:tcBorders>
            <w:vAlign w:val="center"/>
          </w:tcPr>
          <w:p w:rsidR="003465BB" w:rsidRPr="003465BB" w:rsidRDefault="003465BB" w:rsidP="003465BB">
            <w:pPr>
              <w:rPr>
                <w:rFonts w:eastAsia="Times New Roman" w:cs="Arial"/>
                <w:color w:val="000000"/>
                <w:lang w:eastAsia="en-GB"/>
              </w:rPr>
            </w:pPr>
          </w:p>
        </w:tc>
        <w:tc>
          <w:tcPr>
            <w:tcW w:w="1275" w:type="dxa"/>
            <w:vMerge/>
            <w:tcBorders>
              <w:top w:val="nil"/>
              <w:left w:val="single" w:sz="8" w:space="0" w:color="auto"/>
              <w:bottom w:val="single" w:sz="8" w:space="0" w:color="000000"/>
              <w:right w:val="single" w:sz="8" w:space="0" w:color="auto"/>
            </w:tcBorders>
            <w:vAlign w:val="center"/>
          </w:tcPr>
          <w:p w:rsidR="003465BB" w:rsidRPr="003465BB" w:rsidRDefault="003465BB" w:rsidP="003465BB">
            <w:pPr>
              <w:rPr>
                <w:rFonts w:eastAsia="Times New Roman" w:cs="Arial"/>
                <w:color w:val="000000"/>
                <w:lang w:eastAsia="en-GB"/>
              </w:rPr>
            </w:pPr>
          </w:p>
        </w:tc>
        <w:tc>
          <w:tcPr>
            <w:tcW w:w="1705" w:type="dxa"/>
            <w:vMerge/>
            <w:tcBorders>
              <w:top w:val="nil"/>
              <w:left w:val="single" w:sz="8" w:space="0" w:color="auto"/>
              <w:bottom w:val="single" w:sz="8" w:space="0" w:color="000000"/>
              <w:right w:val="single" w:sz="8" w:space="0" w:color="auto"/>
            </w:tcBorders>
            <w:vAlign w:val="center"/>
          </w:tcPr>
          <w:p w:rsidR="003465BB" w:rsidRPr="003465BB" w:rsidRDefault="003465BB" w:rsidP="003465BB">
            <w:pPr>
              <w:rPr>
                <w:rFonts w:eastAsia="Times New Roman" w:cs="Arial"/>
                <w:color w:val="000000"/>
                <w:lang w:eastAsia="en-GB"/>
              </w:rPr>
            </w:pPr>
          </w:p>
        </w:tc>
      </w:tr>
    </w:tbl>
    <w:p w:rsidR="00085BF1" w:rsidRDefault="00085BF1" w:rsidP="008A3785">
      <w:pPr>
        <w:jc w:val="center"/>
        <w:rPr>
          <w:b/>
        </w:rPr>
      </w:pPr>
    </w:p>
    <w:tbl>
      <w:tblPr>
        <w:tblW w:w="8095" w:type="dxa"/>
        <w:jc w:val="center"/>
        <w:tblLayout w:type="fixed"/>
        <w:tblLook w:val="04A0" w:firstRow="1" w:lastRow="0" w:firstColumn="1" w:lastColumn="0" w:noHBand="0" w:noVBand="1"/>
      </w:tblPr>
      <w:tblGrid>
        <w:gridCol w:w="3930"/>
        <w:gridCol w:w="1188"/>
        <w:gridCol w:w="1276"/>
        <w:gridCol w:w="1701"/>
      </w:tblGrid>
      <w:tr w:rsidR="0071673E" w:rsidRPr="003465BB" w:rsidTr="009E71DE">
        <w:trPr>
          <w:trHeight w:val="255"/>
          <w:jc w:val="center"/>
        </w:trPr>
        <w:tc>
          <w:tcPr>
            <w:tcW w:w="39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1673E" w:rsidRPr="003465BB" w:rsidRDefault="005E728E" w:rsidP="00B44F85">
            <w:pPr>
              <w:jc w:val="center"/>
              <w:rPr>
                <w:rFonts w:eastAsia="Times New Roman" w:cs="Arial"/>
                <w:b/>
                <w:bCs/>
                <w:color w:val="000000"/>
                <w:lang w:eastAsia="en-GB"/>
              </w:rPr>
            </w:pPr>
            <w:r>
              <w:rPr>
                <w:rFonts w:eastAsia="Times New Roman" w:cs="Arial"/>
                <w:b/>
                <w:bCs/>
                <w:color w:val="000000"/>
                <w:lang w:eastAsia="en-GB"/>
              </w:rPr>
              <w:t xml:space="preserve">Cumulative to </w:t>
            </w:r>
            <w:r w:rsidR="00B4475C">
              <w:rPr>
                <w:rFonts w:eastAsia="Times New Roman" w:cs="Arial"/>
                <w:b/>
                <w:bCs/>
                <w:color w:val="000000"/>
                <w:lang w:eastAsia="en-GB"/>
              </w:rPr>
              <w:t>March</w:t>
            </w:r>
            <w:r w:rsidR="00B44F85">
              <w:rPr>
                <w:rFonts w:eastAsia="Times New Roman" w:cs="Arial"/>
                <w:b/>
                <w:bCs/>
                <w:color w:val="000000"/>
                <w:lang w:eastAsia="en-GB"/>
              </w:rPr>
              <w:t xml:space="preserve"> 2016</w:t>
            </w:r>
            <w:r>
              <w:rPr>
                <w:rFonts w:eastAsia="Times New Roman" w:cs="Arial"/>
                <w:b/>
                <w:bCs/>
                <w:color w:val="000000"/>
                <w:lang w:eastAsia="en-GB"/>
              </w:rPr>
              <w:t xml:space="preserve"> -</w:t>
            </w:r>
            <w:r w:rsidR="0071673E">
              <w:rPr>
                <w:rFonts w:eastAsia="Times New Roman" w:cs="Arial"/>
                <w:b/>
                <w:bCs/>
                <w:color w:val="000000"/>
                <w:lang w:eastAsia="en-GB"/>
              </w:rPr>
              <w:t xml:space="preserve"> BwD</w:t>
            </w:r>
            <w:r w:rsidR="0071673E" w:rsidRPr="003465BB">
              <w:rPr>
                <w:rFonts w:eastAsia="Times New Roman" w:cs="Arial"/>
                <w:b/>
                <w:bCs/>
                <w:color w:val="000000"/>
                <w:lang w:eastAsia="en-GB"/>
              </w:rPr>
              <w:t xml:space="preserve"> CCG</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1673E" w:rsidRPr="003465BB" w:rsidRDefault="0071673E" w:rsidP="00F36281">
            <w:pPr>
              <w:jc w:val="center"/>
              <w:rPr>
                <w:rFonts w:eastAsia="Times New Roman" w:cs="Arial"/>
                <w:b/>
                <w:bCs/>
                <w:color w:val="000000"/>
                <w:lang w:eastAsia="en-GB"/>
              </w:rPr>
            </w:pPr>
            <w:r w:rsidRPr="003465BB">
              <w:rPr>
                <w:rFonts w:eastAsia="Times New Roman" w:cs="Arial"/>
                <w:b/>
                <w:bCs/>
                <w:color w:val="000000"/>
                <w:lang w:eastAsia="en-GB"/>
              </w:rPr>
              <w:t>Treated</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1673E" w:rsidRPr="003465BB" w:rsidRDefault="0071673E" w:rsidP="00F36281">
            <w:pPr>
              <w:jc w:val="center"/>
              <w:rPr>
                <w:rFonts w:eastAsia="Times New Roman" w:cs="Arial"/>
                <w:b/>
                <w:bCs/>
                <w:color w:val="000000"/>
                <w:lang w:eastAsia="en-GB"/>
              </w:rPr>
            </w:pPr>
            <w:r w:rsidRPr="003465BB">
              <w:rPr>
                <w:rFonts w:eastAsia="Times New Roman" w:cs="Arial"/>
                <w:b/>
                <w:bCs/>
                <w:color w:val="000000"/>
                <w:lang w:eastAsia="en-GB"/>
              </w:rPr>
              <w:t>Breaches</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1673E" w:rsidRPr="003465BB" w:rsidRDefault="0071673E" w:rsidP="00F36281">
            <w:pPr>
              <w:jc w:val="center"/>
              <w:rPr>
                <w:rFonts w:eastAsia="Times New Roman" w:cs="Arial"/>
                <w:b/>
                <w:bCs/>
                <w:color w:val="000000"/>
                <w:lang w:eastAsia="en-GB"/>
              </w:rPr>
            </w:pPr>
            <w:r w:rsidRPr="003465BB">
              <w:rPr>
                <w:rFonts w:eastAsia="Times New Roman" w:cs="Arial"/>
                <w:b/>
                <w:bCs/>
                <w:color w:val="000000"/>
                <w:lang w:eastAsia="en-GB"/>
              </w:rPr>
              <w:t>% achieved</w:t>
            </w:r>
          </w:p>
        </w:tc>
      </w:tr>
      <w:tr w:rsidR="0071673E" w:rsidRPr="003465BB" w:rsidTr="009E71DE">
        <w:trPr>
          <w:trHeight w:val="255"/>
          <w:jc w:val="center"/>
        </w:trPr>
        <w:tc>
          <w:tcPr>
            <w:tcW w:w="3930" w:type="dxa"/>
            <w:vMerge/>
            <w:tcBorders>
              <w:top w:val="single" w:sz="8" w:space="0" w:color="auto"/>
              <w:left w:val="single" w:sz="8" w:space="0" w:color="auto"/>
              <w:bottom w:val="single" w:sz="8" w:space="0" w:color="000000"/>
              <w:right w:val="single" w:sz="8" w:space="0" w:color="auto"/>
            </w:tcBorders>
            <w:vAlign w:val="center"/>
            <w:hideMark/>
          </w:tcPr>
          <w:p w:rsidR="0071673E" w:rsidRPr="003465BB" w:rsidRDefault="0071673E" w:rsidP="00F36281">
            <w:pPr>
              <w:rPr>
                <w:rFonts w:eastAsia="Times New Roman" w:cs="Arial"/>
                <w:b/>
                <w:bCs/>
                <w:color w:val="000000"/>
                <w:lang w:eastAsia="en-GB"/>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71673E" w:rsidRPr="003465BB" w:rsidRDefault="0071673E" w:rsidP="00F36281">
            <w:pPr>
              <w:rPr>
                <w:rFonts w:eastAsia="Times New Roman" w:cs="Arial"/>
                <w:b/>
                <w:bCs/>
                <w:color w:val="000000"/>
                <w:lang w:eastAsia="en-GB"/>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71673E" w:rsidRPr="003465BB" w:rsidRDefault="0071673E" w:rsidP="00F36281">
            <w:pPr>
              <w:rPr>
                <w:rFonts w:eastAsia="Times New Roman" w:cs="Arial"/>
                <w:b/>
                <w:bCs/>
                <w:color w:val="000000"/>
                <w:lang w:eastAsia="en-GB"/>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71673E" w:rsidRPr="003465BB" w:rsidRDefault="0071673E" w:rsidP="00F36281">
            <w:pPr>
              <w:rPr>
                <w:rFonts w:eastAsia="Times New Roman" w:cs="Arial"/>
                <w:b/>
                <w:bCs/>
                <w:color w:val="000000"/>
                <w:lang w:eastAsia="en-GB"/>
              </w:rPr>
            </w:pPr>
          </w:p>
        </w:tc>
      </w:tr>
      <w:tr w:rsidR="0071673E" w:rsidRPr="003465BB" w:rsidTr="009E71DE">
        <w:trPr>
          <w:trHeight w:val="255"/>
          <w:jc w:val="center"/>
        </w:trPr>
        <w:tc>
          <w:tcPr>
            <w:tcW w:w="3930" w:type="dxa"/>
            <w:vMerge w:val="restart"/>
            <w:tcBorders>
              <w:top w:val="nil"/>
              <w:left w:val="single" w:sz="8" w:space="0" w:color="auto"/>
              <w:bottom w:val="single" w:sz="8" w:space="0" w:color="000000"/>
              <w:right w:val="single" w:sz="8" w:space="0" w:color="auto"/>
            </w:tcBorders>
            <w:shd w:val="clear" w:color="auto" w:fill="auto"/>
            <w:vAlign w:val="center"/>
            <w:hideMark/>
          </w:tcPr>
          <w:p w:rsidR="0071673E" w:rsidRPr="003465BB" w:rsidRDefault="0071673E" w:rsidP="00F36281">
            <w:pPr>
              <w:jc w:val="center"/>
              <w:rPr>
                <w:rFonts w:eastAsia="Times New Roman" w:cs="Arial"/>
                <w:color w:val="000000"/>
                <w:lang w:eastAsia="en-GB"/>
              </w:rPr>
            </w:pPr>
            <w:r w:rsidRPr="003465BB">
              <w:rPr>
                <w:rFonts w:eastAsia="Times New Roman" w:cs="Arial"/>
                <w:color w:val="000000"/>
                <w:lang w:eastAsia="en-GB"/>
              </w:rPr>
              <w:t>All 62 day pathway patients</w:t>
            </w:r>
          </w:p>
        </w:tc>
        <w:tc>
          <w:tcPr>
            <w:tcW w:w="1188"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B4475C" w:rsidP="00F36281">
            <w:pPr>
              <w:jc w:val="center"/>
              <w:rPr>
                <w:rFonts w:eastAsia="Times New Roman" w:cs="Arial"/>
                <w:color w:val="000000"/>
                <w:lang w:eastAsia="en-GB"/>
              </w:rPr>
            </w:pPr>
            <w:r>
              <w:rPr>
                <w:rFonts w:eastAsia="Times New Roman" w:cs="Arial"/>
                <w:color w:val="000000"/>
                <w:lang w:eastAsia="en-GB"/>
              </w:rPr>
              <w:t>329</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DF2B51" w:rsidP="00F36281">
            <w:pPr>
              <w:jc w:val="center"/>
              <w:rPr>
                <w:rFonts w:eastAsia="Times New Roman" w:cs="Arial"/>
                <w:color w:val="000000"/>
                <w:lang w:eastAsia="en-GB"/>
              </w:rPr>
            </w:pPr>
            <w:r>
              <w:rPr>
                <w:rFonts w:eastAsia="Times New Roman" w:cs="Arial"/>
                <w:color w:val="000000"/>
                <w:lang w:eastAsia="en-GB"/>
              </w:rPr>
              <w:t>47</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DF2B51" w:rsidP="00D502B0">
            <w:pPr>
              <w:jc w:val="center"/>
              <w:rPr>
                <w:rFonts w:eastAsia="Times New Roman" w:cs="Arial"/>
                <w:color w:val="000000"/>
                <w:lang w:eastAsia="en-GB"/>
              </w:rPr>
            </w:pPr>
            <w:r>
              <w:rPr>
                <w:rFonts w:eastAsia="Times New Roman" w:cs="Arial"/>
                <w:color w:val="000000"/>
                <w:lang w:eastAsia="en-GB"/>
              </w:rPr>
              <w:t>85.71</w:t>
            </w:r>
            <w:r w:rsidR="00B4475C">
              <w:rPr>
                <w:rFonts w:eastAsia="Times New Roman" w:cs="Arial"/>
                <w:color w:val="000000"/>
                <w:lang w:eastAsia="en-GB"/>
              </w:rPr>
              <w:t>%</w:t>
            </w:r>
          </w:p>
        </w:tc>
      </w:tr>
      <w:tr w:rsidR="0071673E" w:rsidRPr="003465BB" w:rsidTr="009E71DE">
        <w:trPr>
          <w:trHeight w:val="255"/>
          <w:jc w:val="center"/>
        </w:trPr>
        <w:tc>
          <w:tcPr>
            <w:tcW w:w="3930" w:type="dxa"/>
            <w:vMerge/>
            <w:tcBorders>
              <w:top w:val="nil"/>
              <w:left w:val="single" w:sz="8" w:space="0" w:color="auto"/>
              <w:bottom w:val="single" w:sz="8" w:space="0" w:color="000000"/>
              <w:right w:val="single" w:sz="8" w:space="0" w:color="auto"/>
            </w:tcBorders>
            <w:vAlign w:val="center"/>
            <w:hideMark/>
          </w:tcPr>
          <w:p w:rsidR="0071673E" w:rsidRPr="003465BB" w:rsidRDefault="0071673E" w:rsidP="00F36281">
            <w:pPr>
              <w:rPr>
                <w:rFonts w:eastAsia="Times New Roman" w:cs="Arial"/>
                <w:color w:val="000000"/>
                <w:lang w:eastAsia="en-GB"/>
              </w:rPr>
            </w:pPr>
          </w:p>
        </w:tc>
        <w:tc>
          <w:tcPr>
            <w:tcW w:w="1188"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276"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701"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r>
      <w:tr w:rsidR="0071673E" w:rsidRPr="003465BB" w:rsidTr="009E71DE">
        <w:trPr>
          <w:trHeight w:val="255"/>
          <w:jc w:val="center"/>
        </w:trPr>
        <w:tc>
          <w:tcPr>
            <w:tcW w:w="3930" w:type="dxa"/>
            <w:vMerge w:val="restart"/>
            <w:tcBorders>
              <w:top w:val="nil"/>
              <w:left w:val="single" w:sz="8" w:space="0" w:color="auto"/>
              <w:bottom w:val="single" w:sz="8" w:space="0" w:color="000000"/>
              <w:right w:val="single" w:sz="8" w:space="0" w:color="auto"/>
            </w:tcBorders>
            <w:shd w:val="clear" w:color="auto" w:fill="auto"/>
            <w:vAlign w:val="center"/>
            <w:hideMark/>
          </w:tcPr>
          <w:p w:rsidR="0071673E" w:rsidRPr="003465BB" w:rsidRDefault="0071673E" w:rsidP="00F36281">
            <w:pPr>
              <w:jc w:val="center"/>
              <w:rPr>
                <w:rFonts w:eastAsia="Times New Roman" w:cs="Arial"/>
                <w:color w:val="000000"/>
                <w:lang w:eastAsia="en-GB"/>
              </w:rPr>
            </w:pPr>
            <w:r w:rsidRPr="003465BB">
              <w:rPr>
                <w:rFonts w:eastAsia="Times New Roman" w:cs="Arial"/>
                <w:color w:val="000000"/>
                <w:lang w:eastAsia="en-GB"/>
              </w:rPr>
              <w:t>ELHT sole provider</w:t>
            </w:r>
          </w:p>
        </w:tc>
        <w:tc>
          <w:tcPr>
            <w:tcW w:w="1188"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B4475C" w:rsidP="00F36281">
            <w:pPr>
              <w:jc w:val="center"/>
              <w:rPr>
                <w:rFonts w:eastAsia="Times New Roman" w:cs="Arial"/>
                <w:color w:val="000000"/>
                <w:lang w:eastAsia="en-GB"/>
              </w:rPr>
            </w:pPr>
            <w:r>
              <w:rPr>
                <w:rFonts w:eastAsia="Times New Roman" w:cs="Arial"/>
                <w:color w:val="000000"/>
                <w:lang w:eastAsia="en-GB"/>
              </w:rPr>
              <w:t>271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B4475C" w:rsidP="00F36281">
            <w:pPr>
              <w:jc w:val="center"/>
              <w:rPr>
                <w:rFonts w:eastAsia="Times New Roman" w:cs="Arial"/>
                <w:color w:val="000000"/>
                <w:lang w:eastAsia="en-GB"/>
              </w:rPr>
            </w:pPr>
            <w:r>
              <w:rPr>
                <w:rFonts w:eastAsia="Times New Roman" w:cs="Arial"/>
                <w:color w:val="000000"/>
                <w:lang w:eastAsia="en-GB"/>
              </w:rPr>
              <w:t>31</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B4475C" w:rsidP="00B830C2">
            <w:pPr>
              <w:jc w:val="center"/>
              <w:rPr>
                <w:rFonts w:eastAsia="Times New Roman" w:cs="Arial"/>
                <w:color w:val="000000"/>
                <w:lang w:eastAsia="en-GB"/>
              </w:rPr>
            </w:pPr>
            <w:r>
              <w:rPr>
                <w:rFonts w:eastAsia="Times New Roman" w:cs="Arial"/>
                <w:color w:val="000000"/>
                <w:lang w:eastAsia="en-GB"/>
              </w:rPr>
              <w:t>88.56%</w:t>
            </w:r>
          </w:p>
        </w:tc>
      </w:tr>
      <w:tr w:rsidR="0071673E" w:rsidRPr="003465BB" w:rsidTr="009E71DE">
        <w:trPr>
          <w:trHeight w:val="255"/>
          <w:jc w:val="center"/>
        </w:trPr>
        <w:tc>
          <w:tcPr>
            <w:tcW w:w="3930" w:type="dxa"/>
            <w:vMerge/>
            <w:tcBorders>
              <w:top w:val="nil"/>
              <w:left w:val="single" w:sz="8" w:space="0" w:color="auto"/>
              <w:bottom w:val="single" w:sz="8" w:space="0" w:color="000000"/>
              <w:right w:val="single" w:sz="8" w:space="0" w:color="auto"/>
            </w:tcBorders>
            <w:vAlign w:val="center"/>
            <w:hideMark/>
          </w:tcPr>
          <w:p w:rsidR="0071673E" w:rsidRPr="003465BB" w:rsidRDefault="0071673E" w:rsidP="00F36281">
            <w:pPr>
              <w:rPr>
                <w:rFonts w:eastAsia="Times New Roman" w:cs="Arial"/>
                <w:color w:val="000000"/>
                <w:lang w:eastAsia="en-GB"/>
              </w:rPr>
            </w:pPr>
          </w:p>
        </w:tc>
        <w:tc>
          <w:tcPr>
            <w:tcW w:w="1188"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276"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701"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r>
      <w:tr w:rsidR="0071673E" w:rsidRPr="003465BB" w:rsidTr="009E71DE">
        <w:trPr>
          <w:trHeight w:val="255"/>
          <w:jc w:val="center"/>
        </w:trPr>
        <w:tc>
          <w:tcPr>
            <w:tcW w:w="3930" w:type="dxa"/>
            <w:vMerge w:val="restart"/>
            <w:tcBorders>
              <w:top w:val="nil"/>
              <w:left w:val="single" w:sz="8" w:space="0" w:color="auto"/>
              <w:bottom w:val="single" w:sz="8" w:space="0" w:color="000000"/>
              <w:right w:val="single" w:sz="8" w:space="0" w:color="auto"/>
            </w:tcBorders>
            <w:shd w:val="clear" w:color="auto" w:fill="auto"/>
            <w:vAlign w:val="center"/>
            <w:hideMark/>
          </w:tcPr>
          <w:p w:rsidR="0071673E" w:rsidRPr="003465BB" w:rsidRDefault="0071673E" w:rsidP="00F36281">
            <w:pPr>
              <w:jc w:val="center"/>
              <w:rPr>
                <w:rFonts w:eastAsia="Times New Roman" w:cs="Arial"/>
                <w:color w:val="000000"/>
                <w:lang w:eastAsia="en-GB"/>
              </w:rPr>
            </w:pPr>
            <w:r w:rsidRPr="003465BB">
              <w:rPr>
                <w:rFonts w:eastAsia="Times New Roman" w:cs="Arial"/>
                <w:color w:val="000000"/>
                <w:lang w:eastAsia="en-GB"/>
              </w:rPr>
              <w:t>ELHT shared provider</w:t>
            </w:r>
          </w:p>
        </w:tc>
        <w:tc>
          <w:tcPr>
            <w:tcW w:w="1188"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B4475C" w:rsidP="00F36281">
            <w:pPr>
              <w:jc w:val="center"/>
              <w:rPr>
                <w:rFonts w:eastAsia="Times New Roman" w:cs="Arial"/>
                <w:color w:val="000000"/>
                <w:lang w:eastAsia="en-GB"/>
              </w:rPr>
            </w:pPr>
            <w:r>
              <w:rPr>
                <w:rFonts w:eastAsia="Times New Roman" w:cs="Arial"/>
                <w:color w:val="000000"/>
                <w:lang w:eastAsia="en-GB"/>
              </w:rPr>
              <w:t>51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B4475C" w:rsidP="00F36281">
            <w:pPr>
              <w:jc w:val="center"/>
              <w:rPr>
                <w:rFonts w:eastAsia="Times New Roman" w:cs="Arial"/>
                <w:color w:val="000000"/>
                <w:lang w:eastAsia="en-GB"/>
              </w:rPr>
            </w:pPr>
            <w:r>
              <w:rPr>
                <w:rFonts w:eastAsia="Times New Roman" w:cs="Arial"/>
                <w:color w:val="000000"/>
                <w:lang w:eastAsia="en-GB"/>
              </w:rPr>
              <w:t>15</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B4475C" w:rsidP="00D502B0">
            <w:pPr>
              <w:jc w:val="center"/>
              <w:rPr>
                <w:rFonts w:eastAsia="Times New Roman" w:cs="Arial"/>
                <w:color w:val="000000"/>
                <w:lang w:eastAsia="en-GB"/>
              </w:rPr>
            </w:pPr>
            <w:r>
              <w:rPr>
                <w:rFonts w:eastAsia="Times New Roman" w:cs="Arial"/>
                <w:color w:val="000000"/>
                <w:lang w:eastAsia="en-GB"/>
              </w:rPr>
              <w:t>70.59%</w:t>
            </w:r>
          </w:p>
        </w:tc>
      </w:tr>
      <w:tr w:rsidR="0071673E" w:rsidRPr="003465BB" w:rsidTr="009E71DE">
        <w:trPr>
          <w:trHeight w:val="255"/>
          <w:jc w:val="center"/>
        </w:trPr>
        <w:tc>
          <w:tcPr>
            <w:tcW w:w="3930" w:type="dxa"/>
            <w:vMerge/>
            <w:tcBorders>
              <w:top w:val="nil"/>
              <w:left w:val="single" w:sz="8" w:space="0" w:color="auto"/>
              <w:bottom w:val="single" w:sz="8" w:space="0" w:color="000000"/>
              <w:right w:val="single" w:sz="8" w:space="0" w:color="auto"/>
            </w:tcBorders>
            <w:vAlign w:val="center"/>
            <w:hideMark/>
          </w:tcPr>
          <w:p w:rsidR="0071673E" w:rsidRPr="003465BB" w:rsidRDefault="0071673E" w:rsidP="00F36281">
            <w:pPr>
              <w:rPr>
                <w:rFonts w:eastAsia="Times New Roman" w:cs="Arial"/>
                <w:color w:val="000000"/>
                <w:lang w:eastAsia="en-GB"/>
              </w:rPr>
            </w:pPr>
          </w:p>
        </w:tc>
        <w:tc>
          <w:tcPr>
            <w:tcW w:w="1188"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276"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701"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r>
      <w:tr w:rsidR="0071673E" w:rsidRPr="003465BB" w:rsidTr="00307FD3">
        <w:trPr>
          <w:trHeight w:val="255"/>
          <w:jc w:val="center"/>
        </w:trPr>
        <w:tc>
          <w:tcPr>
            <w:tcW w:w="3930" w:type="dxa"/>
            <w:vMerge w:val="restart"/>
            <w:tcBorders>
              <w:top w:val="nil"/>
              <w:left w:val="single" w:sz="8" w:space="0" w:color="auto"/>
              <w:bottom w:val="single" w:sz="8" w:space="0" w:color="000000"/>
              <w:right w:val="single" w:sz="8" w:space="0" w:color="auto"/>
            </w:tcBorders>
            <w:shd w:val="clear" w:color="auto" w:fill="auto"/>
            <w:vAlign w:val="center"/>
            <w:hideMark/>
          </w:tcPr>
          <w:p w:rsidR="0071673E" w:rsidRPr="003465BB" w:rsidRDefault="0071673E" w:rsidP="00307FD3">
            <w:pPr>
              <w:jc w:val="center"/>
              <w:rPr>
                <w:rFonts w:eastAsia="Times New Roman" w:cs="Arial"/>
                <w:color w:val="000000"/>
                <w:lang w:eastAsia="en-GB"/>
              </w:rPr>
            </w:pPr>
            <w:r w:rsidRPr="003465BB">
              <w:rPr>
                <w:rFonts w:eastAsia="Times New Roman" w:cs="Arial"/>
                <w:color w:val="000000"/>
                <w:lang w:eastAsia="en-GB"/>
              </w:rPr>
              <w:t>Other provider – ELHT no input</w:t>
            </w:r>
          </w:p>
        </w:tc>
        <w:tc>
          <w:tcPr>
            <w:tcW w:w="1188"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755370" w:rsidP="00F36281">
            <w:pPr>
              <w:jc w:val="center"/>
              <w:rPr>
                <w:rFonts w:eastAsia="Times New Roman" w:cs="Arial"/>
                <w:color w:val="000000"/>
                <w:lang w:eastAsia="en-GB"/>
              </w:rPr>
            </w:pPr>
            <w:r>
              <w:rPr>
                <w:rFonts w:eastAsia="Times New Roman" w:cs="Arial"/>
                <w:color w:val="000000"/>
                <w:lang w:eastAsia="en-GB"/>
              </w:rPr>
              <w:t>7</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755370" w:rsidP="00F36281">
            <w:pPr>
              <w:jc w:val="center"/>
              <w:rPr>
                <w:rFonts w:eastAsia="Times New Roman" w:cs="Arial"/>
                <w:color w:val="000000"/>
                <w:lang w:eastAsia="en-GB"/>
              </w:rPr>
            </w:pPr>
            <w:r>
              <w:rPr>
                <w:rFonts w:eastAsia="Times New Roman" w:cs="Arial"/>
                <w:color w:val="000000"/>
                <w:lang w:eastAsia="en-GB"/>
              </w:rPr>
              <w:t>1</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tcPr>
          <w:p w:rsidR="0071673E" w:rsidRPr="003465BB" w:rsidRDefault="00755370" w:rsidP="00D502B0">
            <w:pPr>
              <w:jc w:val="center"/>
              <w:rPr>
                <w:rFonts w:eastAsia="Times New Roman" w:cs="Arial"/>
                <w:color w:val="000000"/>
                <w:lang w:eastAsia="en-GB"/>
              </w:rPr>
            </w:pPr>
            <w:r>
              <w:rPr>
                <w:rFonts w:eastAsia="Times New Roman" w:cs="Arial"/>
                <w:color w:val="000000"/>
                <w:lang w:eastAsia="en-GB"/>
              </w:rPr>
              <w:t>85.71%</w:t>
            </w:r>
          </w:p>
        </w:tc>
      </w:tr>
      <w:tr w:rsidR="0071673E" w:rsidRPr="003465BB" w:rsidTr="00307FD3">
        <w:trPr>
          <w:trHeight w:val="315"/>
          <w:jc w:val="center"/>
        </w:trPr>
        <w:tc>
          <w:tcPr>
            <w:tcW w:w="3930" w:type="dxa"/>
            <w:vMerge/>
            <w:tcBorders>
              <w:top w:val="nil"/>
              <w:left w:val="single" w:sz="8" w:space="0" w:color="auto"/>
              <w:bottom w:val="single" w:sz="8" w:space="0" w:color="000000"/>
              <w:right w:val="single" w:sz="8" w:space="0" w:color="auto"/>
            </w:tcBorders>
            <w:vAlign w:val="center"/>
            <w:hideMark/>
          </w:tcPr>
          <w:p w:rsidR="0071673E" w:rsidRPr="003465BB" w:rsidRDefault="0071673E" w:rsidP="00307FD3">
            <w:pPr>
              <w:jc w:val="center"/>
              <w:rPr>
                <w:rFonts w:eastAsia="Times New Roman" w:cs="Arial"/>
                <w:color w:val="000000"/>
                <w:lang w:eastAsia="en-GB"/>
              </w:rPr>
            </w:pPr>
          </w:p>
        </w:tc>
        <w:tc>
          <w:tcPr>
            <w:tcW w:w="1188"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276"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c>
          <w:tcPr>
            <w:tcW w:w="1701" w:type="dxa"/>
            <w:vMerge/>
            <w:tcBorders>
              <w:top w:val="nil"/>
              <w:left w:val="single" w:sz="8" w:space="0" w:color="auto"/>
              <w:bottom w:val="single" w:sz="8" w:space="0" w:color="000000"/>
              <w:right w:val="single" w:sz="8" w:space="0" w:color="auto"/>
            </w:tcBorders>
            <w:vAlign w:val="center"/>
          </w:tcPr>
          <w:p w:rsidR="0071673E" w:rsidRPr="003465BB" w:rsidRDefault="0071673E" w:rsidP="00F36281">
            <w:pPr>
              <w:rPr>
                <w:rFonts w:eastAsia="Times New Roman" w:cs="Arial"/>
                <w:color w:val="000000"/>
                <w:lang w:eastAsia="en-GB"/>
              </w:rPr>
            </w:pPr>
          </w:p>
        </w:tc>
      </w:tr>
    </w:tbl>
    <w:p w:rsidR="00915C08" w:rsidRDefault="00915C08" w:rsidP="008A3785">
      <w:pPr>
        <w:jc w:val="center"/>
        <w:rPr>
          <w:b/>
        </w:rPr>
      </w:pPr>
    </w:p>
    <w:p w:rsidR="00E74708" w:rsidRPr="00A92D34" w:rsidRDefault="00E646DF" w:rsidP="009E71DE">
      <w:pPr>
        <w:ind w:left="720" w:hanging="720"/>
      </w:pPr>
      <w:r w:rsidRPr="00E646DF">
        <w:rPr>
          <w:b/>
        </w:rPr>
        <w:t>3.2</w:t>
      </w:r>
      <w:r>
        <w:tab/>
      </w:r>
      <w:r w:rsidR="00E74708" w:rsidRPr="00E73654">
        <w:t>Monitoring</w:t>
      </w:r>
      <w:r w:rsidR="004360B0" w:rsidRPr="00E73654">
        <w:t xml:space="preserve"> of cancer waiting time standards</w:t>
      </w:r>
      <w:r w:rsidR="00E74708" w:rsidRPr="00E73654">
        <w:t xml:space="preserve"> continues on a monthly basis.  This includes monthly commissioner/provider/clinical reviews of breaches to identify recurrent themes.  Key themes identified include capacity issues across pathways, in particular in relation to diagnostics, capacity and demand across the pathway and an element of patient choice.</w:t>
      </w:r>
      <w:r w:rsidR="00E74708" w:rsidRPr="00A92D34">
        <w:t xml:space="preserve">  </w:t>
      </w:r>
    </w:p>
    <w:p w:rsidR="00CF6EBF" w:rsidRPr="00A92D34" w:rsidRDefault="00CF6EBF" w:rsidP="00564D1B">
      <w:pPr>
        <w:rPr>
          <w:highlight w:val="yellow"/>
        </w:rPr>
      </w:pPr>
    </w:p>
    <w:p w:rsidR="00616CB7" w:rsidRDefault="001D22FB" w:rsidP="009E71DE">
      <w:pPr>
        <w:ind w:left="720"/>
        <w:rPr>
          <w:b/>
          <w:color w:val="000000" w:themeColor="text1"/>
        </w:rPr>
      </w:pPr>
      <w:r w:rsidRPr="00976973">
        <w:rPr>
          <w:b/>
          <w:color w:val="000000" w:themeColor="text1"/>
        </w:rPr>
        <w:t xml:space="preserve">In </w:t>
      </w:r>
      <w:r w:rsidR="00616CB7">
        <w:rPr>
          <w:b/>
          <w:color w:val="000000" w:themeColor="text1"/>
        </w:rPr>
        <w:t xml:space="preserve">March </w:t>
      </w:r>
      <w:r w:rsidR="00607018" w:rsidRPr="00976973">
        <w:rPr>
          <w:b/>
          <w:color w:val="000000" w:themeColor="text1"/>
        </w:rPr>
        <w:t>201</w:t>
      </w:r>
      <w:r w:rsidR="000F191A" w:rsidRPr="00976973">
        <w:rPr>
          <w:b/>
          <w:color w:val="000000" w:themeColor="text1"/>
        </w:rPr>
        <w:t>6</w:t>
      </w:r>
      <w:r w:rsidR="00BF2789" w:rsidRPr="00976973">
        <w:rPr>
          <w:b/>
          <w:color w:val="000000" w:themeColor="text1"/>
        </w:rPr>
        <w:t xml:space="preserve"> EL</w:t>
      </w:r>
      <w:r w:rsidR="00EC1FBE" w:rsidRPr="00976973">
        <w:rPr>
          <w:b/>
          <w:color w:val="000000" w:themeColor="text1"/>
        </w:rPr>
        <w:t xml:space="preserve"> </w:t>
      </w:r>
      <w:r w:rsidR="00BF2789" w:rsidRPr="00976973">
        <w:rPr>
          <w:b/>
          <w:color w:val="000000" w:themeColor="text1"/>
        </w:rPr>
        <w:t>CCG</w:t>
      </w:r>
      <w:r w:rsidR="005F3502" w:rsidRPr="00976973">
        <w:rPr>
          <w:b/>
          <w:color w:val="000000" w:themeColor="text1"/>
        </w:rPr>
        <w:t xml:space="preserve"> </w:t>
      </w:r>
      <w:r w:rsidR="007662C0" w:rsidRPr="00976973">
        <w:rPr>
          <w:b/>
          <w:color w:val="000000" w:themeColor="text1"/>
        </w:rPr>
        <w:t xml:space="preserve">achieved all the cancer standards. </w:t>
      </w:r>
      <w:r w:rsidR="00281BF1" w:rsidRPr="00976973">
        <w:rPr>
          <w:b/>
          <w:color w:val="000000" w:themeColor="text1"/>
        </w:rPr>
        <w:t xml:space="preserve"> </w:t>
      </w:r>
    </w:p>
    <w:p w:rsidR="00616CB7" w:rsidRDefault="00616CB7" w:rsidP="009E71DE">
      <w:pPr>
        <w:ind w:left="720"/>
        <w:rPr>
          <w:b/>
          <w:color w:val="000000" w:themeColor="text1"/>
        </w:rPr>
      </w:pPr>
    </w:p>
    <w:p w:rsidR="00001361" w:rsidRDefault="00001361" w:rsidP="009E71DE">
      <w:pPr>
        <w:ind w:left="720"/>
        <w:rPr>
          <w:b/>
          <w:color w:val="000000" w:themeColor="text1"/>
        </w:rPr>
      </w:pPr>
      <w:r>
        <w:rPr>
          <w:b/>
          <w:color w:val="000000" w:themeColor="text1"/>
        </w:rPr>
        <w:t xml:space="preserve">In March </w:t>
      </w:r>
      <w:r w:rsidR="00EE50F5" w:rsidRPr="00976973">
        <w:rPr>
          <w:b/>
          <w:color w:val="000000" w:themeColor="text1"/>
        </w:rPr>
        <w:t>BwD CCG</w:t>
      </w:r>
      <w:r w:rsidR="006C515D" w:rsidRPr="00976973">
        <w:rPr>
          <w:b/>
          <w:color w:val="000000" w:themeColor="text1"/>
        </w:rPr>
        <w:t xml:space="preserve"> </w:t>
      </w:r>
      <w:r w:rsidR="007662C0" w:rsidRPr="00976973">
        <w:rPr>
          <w:b/>
          <w:color w:val="000000" w:themeColor="text1"/>
        </w:rPr>
        <w:t>failed to achieve the</w:t>
      </w:r>
      <w:r w:rsidR="00FF4222">
        <w:rPr>
          <w:b/>
          <w:color w:val="000000" w:themeColor="text1"/>
        </w:rPr>
        <w:t xml:space="preserve"> 14 day breast symptomatic (91.8% against 93% target), 31 day subsequent radiology (91.7% against 94%) and </w:t>
      </w:r>
      <w:r w:rsidR="007662C0" w:rsidRPr="00976973">
        <w:rPr>
          <w:b/>
          <w:color w:val="000000" w:themeColor="text1"/>
        </w:rPr>
        <w:t xml:space="preserve"> </w:t>
      </w:r>
      <w:r w:rsidR="003A02AC" w:rsidRPr="00976973">
        <w:rPr>
          <w:b/>
          <w:color w:val="000000" w:themeColor="text1"/>
        </w:rPr>
        <w:t>62</w:t>
      </w:r>
      <w:r w:rsidR="000F191A" w:rsidRPr="00976973">
        <w:rPr>
          <w:b/>
          <w:color w:val="000000" w:themeColor="text1"/>
        </w:rPr>
        <w:t xml:space="preserve"> day </w:t>
      </w:r>
      <w:r w:rsidR="003A02AC" w:rsidRPr="00976973">
        <w:rPr>
          <w:b/>
          <w:color w:val="000000" w:themeColor="text1"/>
        </w:rPr>
        <w:t xml:space="preserve">standard </w:t>
      </w:r>
      <w:r w:rsidR="001423C0" w:rsidRPr="00976973">
        <w:rPr>
          <w:b/>
          <w:color w:val="000000" w:themeColor="text1"/>
        </w:rPr>
        <w:t>(</w:t>
      </w:r>
      <w:r w:rsidR="00616CB7">
        <w:rPr>
          <w:b/>
          <w:color w:val="000000" w:themeColor="text1"/>
        </w:rPr>
        <w:t>70.4</w:t>
      </w:r>
      <w:r w:rsidR="001423C0" w:rsidRPr="00976973">
        <w:rPr>
          <w:b/>
          <w:color w:val="000000" w:themeColor="text1"/>
        </w:rPr>
        <w:t xml:space="preserve">% against </w:t>
      </w:r>
      <w:r w:rsidR="003A02AC" w:rsidRPr="00976973">
        <w:rPr>
          <w:b/>
          <w:color w:val="000000" w:themeColor="text1"/>
        </w:rPr>
        <w:t>85%</w:t>
      </w:r>
      <w:r w:rsidR="000F191A" w:rsidRPr="00976973">
        <w:rPr>
          <w:b/>
          <w:color w:val="000000" w:themeColor="text1"/>
        </w:rPr>
        <w:t>)</w:t>
      </w:r>
      <w:r>
        <w:rPr>
          <w:b/>
          <w:color w:val="000000" w:themeColor="text1"/>
        </w:rPr>
        <w:t xml:space="preserve">. </w:t>
      </w:r>
    </w:p>
    <w:p w:rsidR="00211B3C" w:rsidRDefault="00211B3C" w:rsidP="009E71DE">
      <w:pPr>
        <w:ind w:left="720"/>
        <w:rPr>
          <w:b/>
          <w:color w:val="000000" w:themeColor="text1"/>
        </w:rPr>
      </w:pPr>
    </w:p>
    <w:p w:rsidR="00001361" w:rsidRDefault="00001361" w:rsidP="009E71DE">
      <w:pPr>
        <w:ind w:left="720"/>
        <w:rPr>
          <w:b/>
          <w:color w:val="000000" w:themeColor="text1"/>
        </w:rPr>
      </w:pPr>
      <w:r>
        <w:rPr>
          <w:b/>
          <w:color w:val="000000" w:themeColor="text1"/>
        </w:rPr>
        <w:t xml:space="preserve">The quarter 4 position for the 31 day subsequent radiology was 93.6% against 94% target and the 62 day was 80.8% against 85%. </w:t>
      </w:r>
      <w:r w:rsidR="00616CB7">
        <w:rPr>
          <w:b/>
          <w:color w:val="000000" w:themeColor="text1"/>
        </w:rPr>
        <w:t xml:space="preserve"> </w:t>
      </w:r>
    </w:p>
    <w:p w:rsidR="00211B3C" w:rsidRDefault="00211B3C" w:rsidP="009E71DE">
      <w:pPr>
        <w:ind w:left="720"/>
        <w:rPr>
          <w:b/>
          <w:color w:val="000000" w:themeColor="text1"/>
        </w:rPr>
      </w:pPr>
    </w:p>
    <w:p w:rsidR="00616CB7" w:rsidRDefault="00616CB7" w:rsidP="009E71DE">
      <w:pPr>
        <w:ind w:left="720"/>
        <w:rPr>
          <w:b/>
          <w:color w:val="000000" w:themeColor="text1"/>
        </w:rPr>
      </w:pPr>
      <w:r>
        <w:rPr>
          <w:b/>
          <w:color w:val="000000" w:themeColor="text1"/>
        </w:rPr>
        <w:t>They achieved all other nation</w:t>
      </w:r>
      <w:r w:rsidR="00DE4E24">
        <w:rPr>
          <w:b/>
          <w:color w:val="000000" w:themeColor="text1"/>
        </w:rPr>
        <w:t>al</w:t>
      </w:r>
      <w:r>
        <w:rPr>
          <w:b/>
          <w:color w:val="000000" w:themeColor="text1"/>
        </w:rPr>
        <w:t xml:space="preserve"> standards in March but only gained 80% against the local 86% target for 62 day consultant upgrade </w:t>
      </w:r>
      <w:r w:rsidR="00564A73">
        <w:rPr>
          <w:b/>
          <w:color w:val="000000" w:themeColor="text1"/>
        </w:rPr>
        <w:t>(</w:t>
      </w:r>
      <w:r>
        <w:rPr>
          <w:b/>
          <w:color w:val="000000" w:themeColor="text1"/>
        </w:rPr>
        <w:t>not a national standard</w:t>
      </w:r>
      <w:r w:rsidR="00564A73">
        <w:rPr>
          <w:b/>
          <w:color w:val="000000" w:themeColor="text1"/>
        </w:rPr>
        <w:t>)</w:t>
      </w:r>
      <w:r>
        <w:rPr>
          <w:b/>
          <w:color w:val="000000" w:themeColor="text1"/>
        </w:rPr>
        <w:t xml:space="preserve">. </w:t>
      </w:r>
      <w:r w:rsidR="007662C0" w:rsidRPr="00976973">
        <w:rPr>
          <w:b/>
          <w:color w:val="000000" w:themeColor="text1"/>
        </w:rPr>
        <w:t xml:space="preserve"> </w:t>
      </w:r>
    </w:p>
    <w:p w:rsidR="00616CB7" w:rsidRDefault="00616CB7" w:rsidP="009E71DE">
      <w:pPr>
        <w:ind w:left="720"/>
        <w:rPr>
          <w:b/>
          <w:color w:val="000000" w:themeColor="text1"/>
        </w:rPr>
      </w:pPr>
    </w:p>
    <w:p w:rsidR="00616CB7" w:rsidRDefault="00616CB7" w:rsidP="009E71DE">
      <w:pPr>
        <w:ind w:left="720"/>
        <w:rPr>
          <w:b/>
          <w:color w:val="000000" w:themeColor="text1"/>
        </w:rPr>
      </w:pPr>
      <w:r>
        <w:rPr>
          <w:b/>
          <w:color w:val="000000" w:themeColor="text1"/>
        </w:rPr>
        <w:t>Year end performance for both CCGs indicated achievement of all national standards</w:t>
      </w:r>
      <w:r w:rsidR="005F40EF" w:rsidRPr="00976973">
        <w:rPr>
          <w:b/>
          <w:color w:val="000000" w:themeColor="text1"/>
        </w:rPr>
        <w:t>.</w:t>
      </w:r>
    </w:p>
    <w:p w:rsidR="00616CB7" w:rsidRDefault="00616CB7" w:rsidP="009E71DE">
      <w:pPr>
        <w:ind w:left="720"/>
        <w:rPr>
          <w:b/>
          <w:color w:val="000000" w:themeColor="text1"/>
        </w:rPr>
      </w:pPr>
    </w:p>
    <w:p w:rsidR="00616CB7" w:rsidRDefault="00FF4222" w:rsidP="009E71DE">
      <w:pPr>
        <w:ind w:left="720"/>
        <w:rPr>
          <w:b/>
          <w:color w:val="000000" w:themeColor="text1"/>
        </w:rPr>
      </w:pPr>
      <w:r>
        <w:rPr>
          <w:b/>
          <w:color w:val="000000" w:themeColor="text1"/>
        </w:rPr>
        <w:t>March, q</w:t>
      </w:r>
      <w:r w:rsidR="00616CB7">
        <w:rPr>
          <w:b/>
          <w:color w:val="000000" w:themeColor="text1"/>
        </w:rPr>
        <w:t>uarterly and year end positions are indicated in the table below.</w:t>
      </w:r>
    </w:p>
    <w:p w:rsidR="00616CB7" w:rsidRDefault="00616CB7" w:rsidP="009E71DE">
      <w:pPr>
        <w:ind w:left="720"/>
        <w:rPr>
          <w:b/>
          <w:color w:val="000000" w:themeColor="text1"/>
        </w:rPr>
      </w:pPr>
    </w:p>
    <w:p w:rsidR="00FF4222" w:rsidRDefault="00FF4222" w:rsidP="009E71DE">
      <w:pPr>
        <w:ind w:left="720"/>
        <w:rPr>
          <w:b/>
          <w:color w:val="000000" w:themeColor="text1"/>
        </w:rPr>
      </w:pPr>
    </w:p>
    <w:p w:rsidR="00616CB7" w:rsidRDefault="00616CB7" w:rsidP="009E71DE">
      <w:pPr>
        <w:ind w:left="720"/>
        <w:rPr>
          <w:b/>
          <w:color w:val="000000" w:themeColor="text1"/>
        </w:rPr>
      </w:pPr>
    </w:p>
    <w:p w:rsidR="00D60C17" w:rsidRDefault="00D60C17" w:rsidP="00E74708"/>
    <w:p w:rsidR="007D745C" w:rsidRDefault="007D745C" w:rsidP="009E71DE">
      <w:pPr>
        <w:ind w:left="720" w:hanging="720"/>
        <w:rPr>
          <w:b/>
        </w:rPr>
      </w:pPr>
    </w:p>
    <w:p w:rsidR="00E74708" w:rsidRDefault="00E646DF" w:rsidP="009E71DE">
      <w:pPr>
        <w:ind w:left="720" w:hanging="720"/>
      </w:pPr>
      <w:r w:rsidRPr="00E646DF">
        <w:rPr>
          <w:b/>
        </w:rPr>
        <w:t>3.3</w:t>
      </w:r>
      <w:r w:rsidRPr="00E646DF">
        <w:tab/>
      </w:r>
      <w:r w:rsidR="00E74708" w:rsidRPr="00AE49D9">
        <w:t xml:space="preserve">There is a </w:t>
      </w:r>
      <w:r w:rsidR="00E74708" w:rsidRPr="002334E0">
        <w:t>continued focus (through the joi</w:t>
      </w:r>
      <w:r w:rsidR="00A10199">
        <w:t xml:space="preserve">ntly agreed Pennine Lancashire </w:t>
      </w:r>
      <w:r w:rsidR="00E74708" w:rsidRPr="002334E0">
        <w:t xml:space="preserve">Cancer Waiting Time Business Assurance </w:t>
      </w:r>
      <w:r w:rsidR="00DD751B" w:rsidRPr="002334E0">
        <w:t>Plan</w:t>
      </w:r>
      <w:r w:rsidR="002334E0" w:rsidRPr="002334E0">
        <w:t>)</w:t>
      </w:r>
      <w:r w:rsidR="00DD751B" w:rsidRPr="002334E0">
        <w:t xml:space="preserve"> </w:t>
      </w:r>
      <w:r w:rsidR="00E74708" w:rsidRPr="002334E0">
        <w:t xml:space="preserve">on improving performance against </w:t>
      </w:r>
      <w:r w:rsidR="003D2689" w:rsidRPr="002334E0">
        <w:t>all cancer waiting time targets</w:t>
      </w:r>
      <w:r w:rsidR="00EA036B">
        <w:t>,</w:t>
      </w:r>
      <w:r w:rsidR="003D2689" w:rsidRPr="002334E0">
        <w:t xml:space="preserve"> in particular</w:t>
      </w:r>
      <w:r w:rsidR="00EA036B">
        <w:t>,</w:t>
      </w:r>
      <w:r w:rsidR="003D2689" w:rsidRPr="002334E0">
        <w:t xml:space="preserve"> the </w:t>
      </w:r>
      <w:r w:rsidR="00E74708" w:rsidRPr="002334E0">
        <w:t xml:space="preserve"> 62 day cancer waiting time standard</w:t>
      </w:r>
      <w:r w:rsidR="00DD751B" w:rsidRPr="002334E0">
        <w:t xml:space="preserve"> </w:t>
      </w:r>
      <w:r w:rsidR="00AF56EE">
        <w:t>for both CCGs.</w:t>
      </w:r>
      <w:r w:rsidR="003D2689" w:rsidRPr="002334E0">
        <w:t xml:space="preserve">  </w:t>
      </w:r>
      <w:r w:rsidR="00E74708">
        <w:t>Progress is monitored</w:t>
      </w:r>
      <w:r w:rsidR="00E74708" w:rsidRPr="00AE49D9">
        <w:t xml:space="preserve"> through the </w:t>
      </w:r>
      <w:r w:rsidR="00E74708">
        <w:t>Pennine Lancashire Cancer</w:t>
      </w:r>
      <w:r w:rsidR="002334E0">
        <w:t xml:space="preserve"> Tactical Group which is </w:t>
      </w:r>
      <w:r w:rsidR="00970E1B">
        <w:t xml:space="preserve">accountable to the Pennine </w:t>
      </w:r>
      <w:r w:rsidR="00351525">
        <w:t>Lancashire Operational Resilience Group (ORG</w:t>
      </w:r>
      <w:r w:rsidR="002334E0">
        <w:t xml:space="preserve">) </w:t>
      </w:r>
      <w:r w:rsidR="00A146CD">
        <w:t xml:space="preserve"> </w:t>
      </w:r>
    </w:p>
    <w:p w:rsidR="007A1F28" w:rsidRDefault="007A1F28" w:rsidP="00E74708"/>
    <w:p w:rsidR="00E74708" w:rsidRDefault="002334E0" w:rsidP="00E74708">
      <w:r w:rsidRPr="002334E0">
        <w:rPr>
          <w:b/>
        </w:rPr>
        <w:t>3.4</w:t>
      </w:r>
      <w:r>
        <w:t xml:space="preserve"> </w:t>
      </w:r>
      <w:r w:rsidR="009E71DE">
        <w:tab/>
      </w:r>
      <w:r w:rsidR="00E74708">
        <w:t>Current k</w:t>
      </w:r>
      <w:r w:rsidR="00E74708" w:rsidRPr="00170321">
        <w:t xml:space="preserve">ey issues </w:t>
      </w:r>
      <w:r w:rsidR="00E74708">
        <w:t xml:space="preserve">to be noted </w:t>
      </w:r>
      <w:r w:rsidR="00E74708" w:rsidRPr="00170321">
        <w:t>include</w:t>
      </w:r>
      <w:r w:rsidR="00E74708">
        <w:t>:</w:t>
      </w:r>
    </w:p>
    <w:p w:rsidR="00797EAB" w:rsidRDefault="00797EAB" w:rsidP="00E74708"/>
    <w:p w:rsidR="00B60498" w:rsidRDefault="00B60498" w:rsidP="003D5E42">
      <w:pPr>
        <w:pStyle w:val="ListParagraph"/>
        <w:numPr>
          <w:ilvl w:val="0"/>
          <w:numId w:val="3"/>
        </w:numPr>
        <w:rPr>
          <w:rFonts w:ascii="Arial" w:hAnsi="Arial" w:cs="Arial"/>
        </w:rPr>
      </w:pPr>
      <w:r w:rsidRPr="00B60498">
        <w:rPr>
          <w:rFonts w:ascii="Arial" w:hAnsi="Arial" w:cs="Arial"/>
        </w:rPr>
        <w:t xml:space="preserve">Publication of a strategy document </w:t>
      </w:r>
      <w:r w:rsidR="00EF439D">
        <w:rPr>
          <w:rFonts w:ascii="Arial" w:hAnsi="Arial" w:cs="Arial"/>
        </w:rPr>
        <w:t>‘</w:t>
      </w:r>
      <w:r w:rsidRPr="00B60498">
        <w:rPr>
          <w:rFonts w:ascii="Arial" w:hAnsi="Arial" w:cs="Arial"/>
        </w:rPr>
        <w:t xml:space="preserve">Achieving World Class Cancer Outcomes 2015 </w:t>
      </w:r>
      <w:r w:rsidR="000115B2">
        <w:rPr>
          <w:rFonts w:ascii="Arial" w:hAnsi="Arial" w:cs="Arial"/>
        </w:rPr>
        <w:t>–</w:t>
      </w:r>
      <w:r w:rsidRPr="00B60498">
        <w:rPr>
          <w:rFonts w:ascii="Arial" w:hAnsi="Arial" w:cs="Arial"/>
        </w:rPr>
        <w:t xml:space="preserve"> 2020</w:t>
      </w:r>
      <w:r w:rsidR="00EF439D">
        <w:rPr>
          <w:rFonts w:ascii="Arial" w:hAnsi="Arial" w:cs="Arial"/>
        </w:rPr>
        <w:t>’</w:t>
      </w:r>
      <w:r w:rsidR="000115B2">
        <w:rPr>
          <w:rFonts w:ascii="Arial" w:hAnsi="Arial" w:cs="Arial"/>
        </w:rPr>
        <w:t xml:space="preserve"> which </w:t>
      </w:r>
      <w:r w:rsidR="00F3039B">
        <w:rPr>
          <w:rFonts w:ascii="Arial" w:hAnsi="Arial" w:cs="Arial"/>
        </w:rPr>
        <w:t>will</w:t>
      </w:r>
      <w:r w:rsidR="000115B2">
        <w:rPr>
          <w:rFonts w:ascii="Arial" w:hAnsi="Arial" w:cs="Arial"/>
        </w:rPr>
        <w:t xml:space="preserve"> inform our future commissioning intentions</w:t>
      </w:r>
      <w:r w:rsidR="00367671">
        <w:rPr>
          <w:rFonts w:ascii="Arial" w:hAnsi="Arial" w:cs="Arial"/>
        </w:rPr>
        <w:t xml:space="preserve">.  There are </w:t>
      </w:r>
      <w:r w:rsidR="00785F38">
        <w:rPr>
          <w:rFonts w:ascii="Arial" w:hAnsi="Arial" w:cs="Arial"/>
        </w:rPr>
        <w:t>96 recommendations</w:t>
      </w:r>
      <w:r w:rsidR="008F7644">
        <w:rPr>
          <w:rFonts w:ascii="Arial" w:hAnsi="Arial" w:cs="Arial"/>
        </w:rPr>
        <w:t>.  The Cancer Network circulated a template for completion by CCGs and providers indication the position against each of the relevant 96 recommendations.  This has been completed and submitted and will inform priorities for the next five years.</w:t>
      </w:r>
      <w:r w:rsidR="00785F38">
        <w:rPr>
          <w:rFonts w:ascii="Arial" w:hAnsi="Arial" w:cs="Arial"/>
        </w:rPr>
        <w:t xml:space="preserve">  It is evident that this will involve wide collaborative working.</w:t>
      </w:r>
    </w:p>
    <w:p w:rsidR="005D0578" w:rsidRPr="005D0578" w:rsidRDefault="005D0578" w:rsidP="005D0578">
      <w:pPr>
        <w:pStyle w:val="ListParagraph"/>
        <w:rPr>
          <w:rFonts w:ascii="Arial" w:hAnsi="Arial" w:cs="Arial"/>
        </w:rPr>
      </w:pPr>
    </w:p>
    <w:p w:rsidR="005D0578" w:rsidRDefault="005D0578" w:rsidP="005D0578">
      <w:pPr>
        <w:pStyle w:val="ListParagraph"/>
        <w:numPr>
          <w:ilvl w:val="0"/>
          <w:numId w:val="3"/>
        </w:numPr>
        <w:rPr>
          <w:rFonts w:ascii="Arial" w:hAnsi="Arial" w:cs="Arial"/>
        </w:rPr>
      </w:pPr>
      <w:r>
        <w:rPr>
          <w:rFonts w:ascii="Arial" w:hAnsi="Arial" w:cs="Arial"/>
        </w:rPr>
        <w:t xml:space="preserve">Lancashire and South Cumbria Review of Oncology Services, phase 1 is now complete.  The report made several recommendations  including new models of provision and commissioning, shared purpose and vision, capacity and demand modelling, development of  service level agreements, </w:t>
      </w:r>
      <w:r w:rsidR="00EA674E">
        <w:rPr>
          <w:rFonts w:ascii="Arial" w:hAnsi="Arial" w:cs="Arial"/>
        </w:rPr>
        <w:t>development of whole system finance, workforce and facilities to deliver the revised model for the provision of oncology services</w:t>
      </w:r>
      <w:r w:rsidR="00113DC2">
        <w:rPr>
          <w:rFonts w:ascii="Arial" w:hAnsi="Arial" w:cs="Arial"/>
        </w:rPr>
        <w:t>. The decision has been made to proceed to phase 2 recommendations which include:</w:t>
      </w:r>
    </w:p>
    <w:p w:rsidR="00113DC2" w:rsidRPr="00113DC2" w:rsidRDefault="00113DC2" w:rsidP="00113DC2">
      <w:pPr>
        <w:pStyle w:val="ListParagraph"/>
        <w:rPr>
          <w:rFonts w:ascii="Arial" w:hAnsi="Arial" w:cs="Arial"/>
        </w:rPr>
      </w:pPr>
    </w:p>
    <w:p w:rsidR="00113DC2" w:rsidRDefault="00113DC2" w:rsidP="00113DC2">
      <w:pPr>
        <w:pStyle w:val="ListParagraph"/>
        <w:numPr>
          <w:ilvl w:val="1"/>
          <w:numId w:val="3"/>
        </w:numPr>
        <w:rPr>
          <w:rFonts w:ascii="Arial" w:hAnsi="Arial" w:cs="Arial"/>
        </w:rPr>
      </w:pPr>
      <w:r>
        <w:rPr>
          <w:rFonts w:ascii="Arial" w:hAnsi="Arial" w:cs="Arial"/>
        </w:rPr>
        <w:t>Exploration of new model of delivery</w:t>
      </w:r>
    </w:p>
    <w:p w:rsidR="00113DC2" w:rsidRDefault="00113DC2" w:rsidP="00113DC2">
      <w:pPr>
        <w:pStyle w:val="ListParagraph"/>
        <w:numPr>
          <w:ilvl w:val="1"/>
          <w:numId w:val="3"/>
        </w:numPr>
        <w:rPr>
          <w:rFonts w:ascii="Arial" w:hAnsi="Arial" w:cs="Arial"/>
        </w:rPr>
      </w:pPr>
      <w:r>
        <w:rPr>
          <w:rFonts w:ascii="Arial" w:hAnsi="Arial" w:cs="Arial"/>
        </w:rPr>
        <w:t>Develop a common set of aims, objectives, vision and aspirations</w:t>
      </w:r>
    </w:p>
    <w:p w:rsidR="00113DC2" w:rsidRDefault="00113DC2" w:rsidP="00113DC2">
      <w:pPr>
        <w:pStyle w:val="ListParagraph"/>
        <w:numPr>
          <w:ilvl w:val="1"/>
          <w:numId w:val="3"/>
        </w:numPr>
        <w:rPr>
          <w:rFonts w:ascii="Arial" w:hAnsi="Arial" w:cs="Arial"/>
        </w:rPr>
      </w:pPr>
      <w:r>
        <w:rPr>
          <w:rFonts w:ascii="Arial" w:hAnsi="Arial" w:cs="Arial"/>
        </w:rPr>
        <w:t>Agree and sign off capacity and demand model templates</w:t>
      </w:r>
    </w:p>
    <w:p w:rsidR="008F7644" w:rsidRDefault="008F7644" w:rsidP="008F7644">
      <w:pPr>
        <w:pStyle w:val="ListParagraph"/>
        <w:rPr>
          <w:rFonts w:ascii="Arial" w:hAnsi="Arial" w:cs="Arial"/>
        </w:rPr>
      </w:pPr>
    </w:p>
    <w:p w:rsidR="008F7644" w:rsidRPr="005D0578" w:rsidRDefault="008F7644" w:rsidP="008F7644">
      <w:pPr>
        <w:pStyle w:val="ListParagraph"/>
        <w:rPr>
          <w:rFonts w:ascii="Arial" w:hAnsi="Arial" w:cs="Arial"/>
        </w:rPr>
      </w:pPr>
      <w:r>
        <w:rPr>
          <w:rFonts w:ascii="Arial" w:hAnsi="Arial" w:cs="Arial"/>
        </w:rPr>
        <w:t>Awaiting information as to how this will be progressed</w:t>
      </w:r>
    </w:p>
    <w:p w:rsidR="000115B2" w:rsidRPr="000115B2" w:rsidRDefault="000115B2" w:rsidP="000115B2">
      <w:pPr>
        <w:pStyle w:val="ListParagraph"/>
        <w:rPr>
          <w:rFonts w:ascii="Arial" w:hAnsi="Arial" w:cs="Arial"/>
        </w:rPr>
      </w:pPr>
    </w:p>
    <w:p w:rsidR="00E74708" w:rsidRPr="002A0195" w:rsidRDefault="000115B2" w:rsidP="00E74708">
      <w:pPr>
        <w:pStyle w:val="ListParagraph"/>
        <w:numPr>
          <w:ilvl w:val="0"/>
          <w:numId w:val="16"/>
        </w:numPr>
        <w:jc w:val="both"/>
        <w:rPr>
          <w:rFonts w:cs="Arial"/>
        </w:rPr>
      </w:pPr>
      <w:r w:rsidRPr="004B1DB7">
        <w:rPr>
          <w:rFonts w:ascii="Arial" w:hAnsi="Arial" w:cs="Arial"/>
        </w:rPr>
        <w:t xml:space="preserve">NICE guidance </w:t>
      </w:r>
      <w:r w:rsidR="008250A3">
        <w:rPr>
          <w:rFonts w:ascii="Arial" w:hAnsi="Arial" w:cs="Arial"/>
        </w:rPr>
        <w:t>r</w:t>
      </w:r>
      <w:r w:rsidRPr="004B1DB7">
        <w:rPr>
          <w:rFonts w:ascii="Arial" w:hAnsi="Arial" w:cs="Arial"/>
        </w:rPr>
        <w:t xml:space="preserve">eleased </w:t>
      </w:r>
      <w:r w:rsidR="008250A3">
        <w:rPr>
          <w:rFonts w:ascii="Arial" w:hAnsi="Arial" w:cs="Arial"/>
        </w:rPr>
        <w:t>i</w:t>
      </w:r>
      <w:r w:rsidRPr="004B1DB7">
        <w:rPr>
          <w:rFonts w:ascii="Arial" w:hAnsi="Arial" w:cs="Arial"/>
        </w:rPr>
        <w:t>n June</w:t>
      </w:r>
      <w:r w:rsidR="00E23461" w:rsidRPr="004B1DB7">
        <w:rPr>
          <w:rFonts w:ascii="Arial" w:hAnsi="Arial" w:cs="Arial"/>
        </w:rPr>
        <w:t xml:space="preserve"> 2015</w:t>
      </w:r>
      <w:r w:rsidRPr="004B1DB7">
        <w:rPr>
          <w:rFonts w:ascii="Arial" w:hAnsi="Arial" w:cs="Arial"/>
        </w:rPr>
        <w:t xml:space="preserve"> has the potential for a significant increase in demand on cancer services. </w:t>
      </w:r>
      <w:r w:rsidR="002334E0" w:rsidRPr="004B1DB7">
        <w:rPr>
          <w:rFonts w:ascii="Arial" w:hAnsi="Arial" w:cs="Arial"/>
        </w:rPr>
        <w:t xml:space="preserve">Work </w:t>
      </w:r>
      <w:r w:rsidR="00FA4B86" w:rsidRPr="004B1DB7">
        <w:rPr>
          <w:rFonts w:ascii="Arial" w:hAnsi="Arial" w:cs="Arial"/>
        </w:rPr>
        <w:t xml:space="preserve">continues </w:t>
      </w:r>
      <w:r w:rsidR="006D4B4A" w:rsidRPr="004B1DB7">
        <w:rPr>
          <w:rFonts w:ascii="Arial" w:hAnsi="Arial" w:cs="Arial"/>
        </w:rPr>
        <w:t>on the process of</w:t>
      </w:r>
      <w:r w:rsidRPr="004B1DB7">
        <w:rPr>
          <w:rFonts w:ascii="Arial" w:hAnsi="Arial" w:cs="Arial"/>
        </w:rPr>
        <w:t xml:space="preserve"> embed</w:t>
      </w:r>
      <w:r w:rsidR="006D4B4A" w:rsidRPr="004B1DB7">
        <w:rPr>
          <w:rFonts w:ascii="Arial" w:hAnsi="Arial" w:cs="Arial"/>
        </w:rPr>
        <w:t>ding</w:t>
      </w:r>
      <w:r w:rsidRPr="004B1DB7">
        <w:rPr>
          <w:rFonts w:ascii="Arial" w:hAnsi="Arial" w:cs="Arial"/>
        </w:rPr>
        <w:t xml:space="preserve"> the guidance into the health economy</w:t>
      </w:r>
      <w:r w:rsidR="00936274" w:rsidRPr="004B1DB7">
        <w:rPr>
          <w:rFonts w:ascii="Arial" w:hAnsi="Arial" w:cs="Arial"/>
        </w:rPr>
        <w:t xml:space="preserve">.  </w:t>
      </w:r>
      <w:r w:rsidR="00F91BA8" w:rsidRPr="004B1DB7">
        <w:rPr>
          <w:rFonts w:ascii="Arial" w:hAnsi="Arial" w:cs="Arial"/>
        </w:rPr>
        <w:t>In partnership with ELHT a Task and F</w:t>
      </w:r>
      <w:r w:rsidR="00936274" w:rsidRPr="004B1DB7">
        <w:rPr>
          <w:rFonts w:ascii="Arial" w:hAnsi="Arial" w:cs="Arial"/>
        </w:rPr>
        <w:t xml:space="preserve">inish group has been established </w:t>
      </w:r>
      <w:r w:rsidR="00F91BA8" w:rsidRPr="004B1DB7">
        <w:rPr>
          <w:rFonts w:ascii="Arial" w:hAnsi="Arial" w:cs="Arial"/>
        </w:rPr>
        <w:t>which</w:t>
      </w:r>
      <w:r w:rsidR="00551167" w:rsidRPr="004B1DB7">
        <w:rPr>
          <w:rFonts w:ascii="Arial" w:hAnsi="Arial" w:cs="Arial"/>
        </w:rPr>
        <w:t xml:space="preserve"> meets on a monthly basis </w:t>
      </w:r>
      <w:r w:rsidR="001D5789" w:rsidRPr="004B1DB7">
        <w:rPr>
          <w:rFonts w:ascii="Arial" w:hAnsi="Arial" w:cs="Arial"/>
        </w:rPr>
        <w:t xml:space="preserve">to </w:t>
      </w:r>
      <w:r w:rsidR="00292A15" w:rsidRPr="004B1DB7">
        <w:rPr>
          <w:rFonts w:ascii="Arial" w:hAnsi="Arial" w:cs="Arial"/>
        </w:rPr>
        <w:t>oversee the implementation of</w:t>
      </w:r>
      <w:r w:rsidR="001D5789" w:rsidRPr="004B1DB7">
        <w:rPr>
          <w:rFonts w:ascii="Arial" w:hAnsi="Arial" w:cs="Arial"/>
        </w:rPr>
        <w:t xml:space="preserve"> this guidance. </w:t>
      </w:r>
      <w:r w:rsidR="009E71DE" w:rsidRPr="004B1DB7">
        <w:rPr>
          <w:rFonts w:ascii="Arial" w:hAnsi="Arial" w:cs="Arial"/>
        </w:rPr>
        <w:t>The first phase, (with twelve</w:t>
      </w:r>
      <w:r w:rsidR="006D4B4A" w:rsidRPr="004B1DB7">
        <w:rPr>
          <w:rFonts w:ascii="Arial" w:hAnsi="Arial" w:cs="Arial"/>
        </w:rPr>
        <w:t xml:space="preserve"> 2WR templates and other supportin</w:t>
      </w:r>
      <w:r w:rsidR="008250A3">
        <w:rPr>
          <w:rFonts w:ascii="Arial" w:hAnsi="Arial" w:cs="Arial"/>
        </w:rPr>
        <w:t>g documentation) was released in</w:t>
      </w:r>
      <w:r w:rsidR="006D4B4A" w:rsidRPr="004B1DB7">
        <w:rPr>
          <w:rFonts w:ascii="Arial" w:hAnsi="Arial" w:cs="Arial"/>
        </w:rPr>
        <w:t xml:space="preserve"> February</w:t>
      </w:r>
      <w:r w:rsidR="008250A3">
        <w:rPr>
          <w:rFonts w:ascii="Arial" w:hAnsi="Arial" w:cs="Arial"/>
        </w:rPr>
        <w:t xml:space="preserve">. These, and their impact, are under constant review. </w:t>
      </w:r>
      <w:r w:rsidR="009E71DE" w:rsidRPr="004B1DB7">
        <w:rPr>
          <w:rFonts w:ascii="Arial" w:hAnsi="Arial" w:cs="Arial"/>
        </w:rPr>
        <w:t xml:space="preserve"> </w:t>
      </w:r>
      <w:r w:rsidR="002A0195">
        <w:rPr>
          <w:rFonts w:ascii="Arial" w:hAnsi="Arial" w:cs="Arial"/>
        </w:rPr>
        <w:t>Lung,  urology, and revised versions of paediatrics, brain and CNS and direct access to endoscopy were released 1</w:t>
      </w:r>
      <w:r w:rsidR="002A0195" w:rsidRPr="002A0195">
        <w:rPr>
          <w:rFonts w:ascii="Arial" w:hAnsi="Arial" w:cs="Arial"/>
          <w:vertAlign w:val="superscript"/>
        </w:rPr>
        <w:t>st</w:t>
      </w:r>
      <w:r w:rsidR="002A0195">
        <w:rPr>
          <w:rFonts w:ascii="Arial" w:hAnsi="Arial" w:cs="Arial"/>
        </w:rPr>
        <w:t xml:space="preserve"> June 2016.  </w:t>
      </w:r>
      <w:r w:rsidR="00E71CB1" w:rsidRPr="002A0195">
        <w:rPr>
          <w:rFonts w:ascii="Arial" w:hAnsi="Arial" w:cs="Arial"/>
        </w:rPr>
        <w:t>Lower GI and Skin will follow but the L</w:t>
      </w:r>
      <w:r w:rsidR="005B21A4" w:rsidRPr="002A0195">
        <w:rPr>
          <w:rFonts w:ascii="Arial" w:eastAsia="Times New Roman" w:hAnsi="Arial" w:cs="Arial"/>
          <w:lang w:eastAsia="en-GB"/>
        </w:rPr>
        <w:t>ower GI</w:t>
      </w:r>
      <w:r w:rsidR="00E71CB1" w:rsidRPr="002A0195">
        <w:rPr>
          <w:rFonts w:ascii="Arial" w:eastAsia="Times New Roman" w:hAnsi="Arial" w:cs="Arial"/>
          <w:lang w:eastAsia="en-GB"/>
        </w:rPr>
        <w:t xml:space="preserve"> </w:t>
      </w:r>
      <w:r w:rsidR="005B21A4" w:rsidRPr="002A0195">
        <w:rPr>
          <w:rFonts w:ascii="Arial" w:eastAsia="Times New Roman" w:hAnsi="Arial" w:cs="Arial"/>
          <w:lang w:eastAsia="en-GB"/>
        </w:rPr>
        <w:t xml:space="preserve">is very dependent on the Endoscopy Business Case </w:t>
      </w:r>
      <w:r w:rsidR="008F7644" w:rsidRPr="002A0195">
        <w:rPr>
          <w:rFonts w:ascii="Arial" w:eastAsia="Times New Roman" w:hAnsi="Arial" w:cs="Arial"/>
          <w:lang w:eastAsia="en-GB"/>
        </w:rPr>
        <w:t>which has now been shared and will be evaluated.</w:t>
      </w:r>
      <w:r w:rsidR="004B1DB7" w:rsidRPr="002A0195">
        <w:rPr>
          <w:rFonts w:ascii="Arial" w:eastAsia="Times New Roman" w:hAnsi="Arial" w:cs="Arial"/>
          <w:lang w:eastAsia="en-GB"/>
        </w:rPr>
        <w:t xml:space="preserve">  </w:t>
      </w:r>
    </w:p>
    <w:p w:rsidR="004B1DB7" w:rsidRPr="004B1DB7" w:rsidRDefault="004B1DB7" w:rsidP="004B1DB7">
      <w:pPr>
        <w:pStyle w:val="ListParagraph"/>
        <w:jc w:val="both"/>
        <w:rPr>
          <w:rFonts w:cs="Arial"/>
        </w:rPr>
      </w:pPr>
    </w:p>
    <w:p w:rsidR="002813DC" w:rsidRPr="00F166A2" w:rsidRDefault="00E74708" w:rsidP="00B4742E">
      <w:pPr>
        <w:pStyle w:val="ListParagraph"/>
        <w:numPr>
          <w:ilvl w:val="0"/>
          <w:numId w:val="1"/>
        </w:numPr>
        <w:rPr>
          <w:rFonts w:cs="Arial"/>
        </w:rPr>
      </w:pPr>
      <w:r w:rsidRPr="00F166A2">
        <w:rPr>
          <w:rFonts w:ascii="Arial" w:hAnsi="Arial" w:cs="Arial"/>
        </w:rPr>
        <w:t>C</w:t>
      </w:r>
      <w:r w:rsidR="00736F2E" w:rsidRPr="00F166A2">
        <w:rPr>
          <w:rFonts w:ascii="Arial" w:hAnsi="Arial" w:cs="Arial"/>
        </w:rPr>
        <w:t xml:space="preserve">apacity &amp; demand review </w:t>
      </w:r>
      <w:r w:rsidRPr="00F166A2">
        <w:rPr>
          <w:rFonts w:ascii="Arial" w:hAnsi="Arial" w:cs="Arial"/>
        </w:rPr>
        <w:t>is a key element of</w:t>
      </w:r>
      <w:r w:rsidR="00CB4102" w:rsidRPr="00F166A2">
        <w:rPr>
          <w:rFonts w:ascii="Arial" w:hAnsi="Arial" w:cs="Arial"/>
        </w:rPr>
        <w:t xml:space="preserve"> the </w:t>
      </w:r>
      <w:r w:rsidR="00F91BA8" w:rsidRPr="00F166A2">
        <w:rPr>
          <w:rFonts w:ascii="Arial" w:hAnsi="Arial" w:cs="Arial"/>
        </w:rPr>
        <w:t>ongoing planning process.</w:t>
      </w:r>
      <w:r w:rsidR="00F517A8" w:rsidRPr="00F166A2">
        <w:rPr>
          <w:rFonts w:ascii="Arial" w:hAnsi="Arial" w:cs="Arial"/>
        </w:rPr>
        <w:t xml:space="preserve"> The development of a health system capacity plan is mandated in the tripartite letter, in addition to the eight key actions. </w:t>
      </w:r>
      <w:r w:rsidR="002813DC" w:rsidRPr="00F166A2">
        <w:rPr>
          <w:rFonts w:ascii="Arial" w:hAnsi="Arial" w:cs="Arial"/>
        </w:rPr>
        <w:t xml:space="preserve"> In addition, t</w:t>
      </w:r>
      <w:r w:rsidR="00F517A8" w:rsidRPr="00F166A2">
        <w:rPr>
          <w:rFonts w:ascii="Arial" w:hAnsi="Arial" w:cs="Arial"/>
        </w:rPr>
        <w:t xml:space="preserve">he 2016/17 – 2020/21 planning guidance requires health economies to ‘secure adequate diagnostic capacity’ in order to </w:t>
      </w:r>
      <w:r w:rsidR="00DA2301" w:rsidRPr="00F166A2">
        <w:rPr>
          <w:rFonts w:ascii="Arial" w:hAnsi="Arial" w:cs="Arial"/>
        </w:rPr>
        <w:t xml:space="preserve">continue to </w:t>
      </w:r>
      <w:r w:rsidR="00736F2E" w:rsidRPr="00F166A2">
        <w:rPr>
          <w:rFonts w:ascii="Arial" w:hAnsi="Arial" w:cs="Arial"/>
        </w:rPr>
        <w:t xml:space="preserve">deliver </w:t>
      </w:r>
      <w:r w:rsidR="00DA2301" w:rsidRPr="00F166A2">
        <w:rPr>
          <w:rFonts w:ascii="Arial" w:hAnsi="Arial" w:cs="Arial"/>
        </w:rPr>
        <w:t xml:space="preserve">all </w:t>
      </w:r>
      <w:r w:rsidR="00F517A8" w:rsidRPr="00F166A2">
        <w:rPr>
          <w:rFonts w:ascii="Arial" w:hAnsi="Arial" w:cs="Arial"/>
        </w:rPr>
        <w:t xml:space="preserve">cancer waiting </w:t>
      </w:r>
      <w:r w:rsidR="00736F2E" w:rsidRPr="00F166A2">
        <w:rPr>
          <w:rFonts w:ascii="Arial" w:hAnsi="Arial" w:cs="Arial"/>
        </w:rPr>
        <w:t xml:space="preserve">time </w:t>
      </w:r>
      <w:r w:rsidR="00F517A8" w:rsidRPr="00F166A2">
        <w:rPr>
          <w:rFonts w:ascii="Arial" w:hAnsi="Arial" w:cs="Arial"/>
        </w:rPr>
        <w:t>standard</w:t>
      </w:r>
      <w:r w:rsidR="00736F2E" w:rsidRPr="00F166A2">
        <w:rPr>
          <w:rFonts w:ascii="Arial" w:hAnsi="Arial" w:cs="Arial"/>
        </w:rPr>
        <w:t>s</w:t>
      </w:r>
      <w:r w:rsidR="00DA2301" w:rsidRPr="00F166A2">
        <w:rPr>
          <w:rFonts w:ascii="Arial" w:hAnsi="Arial" w:cs="Arial"/>
        </w:rPr>
        <w:t xml:space="preserve"> and also to work towards delivery of the recommendations within the ‘Achieving World Class Out</w:t>
      </w:r>
      <w:r w:rsidR="002813DC" w:rsidRPr="00F166A2">
        <w:rPr>
          <w:rFonts w:ascii="Arial" w:hAnsi="Arial" w:cs="Arial"/>
        </w:rPr>
        <w:t>comes: a Strategy for England 2</w:t>
      </w:r>
      <w:r w:rsidR="00DA2301" w:rsidRPr="00F166A2">
        <w:rPr>
          <w:rFonts w:ascii="Arial" w:hAnsi="Arial" w:cs="Arial"/>
        </w:rPr>
        <w:t>015 – 2020</w:t>
      </w:r>
      <w:r w:rsidR="00E55343" w:rsidRPr="00F166A2">
        <w:rPr>
          <w:rFonts w:ascii="Arial" w:hAnsi="Arial" w:cs="Arial"/>
        </w:rPr>
        <w:t>’</w:t>
      </w:r>
      <w:r w:rsidR="00DA2301" w:rsidRPr="00F166A2">
        <w:rPr>
          <w:rFonts w:ascii="Arial" w:hAnsi="Arial" w:cs="Arial"/>
        </w:rPr>
        <w:t xml:space="preserve">. </w:t>
      </w:r>
      <w:r w:rsidR="00F91BA8" w:rsidRPr="00F166A2">
        <w:rPr>
          <w:rFonts w:ascii="Arial" w:hAnsi="Arial" w:cs="Arial"/>
        </w:rPr>
        <w:t xml:space="preserve"> </w:t>
      </w:r>
      <w:r w:rsidR="00DA2301" w:rsidRPr="00F166A2">
        <w:rPr>
          <w:rFonts w:ascii="Arial" w:hAnsi="Arial" w:cs="Arial"/>
        </w:rPr>
        <w:t xml:space="preserve">  </w:t>
      </w:r>
    </w:p>
    <w:p w:rsidR="002813DC" w:rsidRPr="00F166A2" w:rsidRDefault="002813DC" w:rsidP="002813DC">
      <w:pPr>
        <w:pStyle w:val="ListParagraph"/>
        <w:rPr>
          <w:rFonts w:ascii="Arial" w:hAnsi="Arial" w:cs="Arial"/>
        </w:rPr>
      </w:pPr>
    </w:p>
    <w:p w:rsidR="00FD404C" w:rsidRDefault="00DA2301" w:rsidP="002813DC">
      <w:pPr>
        <w:pStyle w:val="ListParagraph"/>
        <w:rPr>
          <w:rFonts w:ascii="Arial" w:hAnsi="Arial" w:cs="Arial"/>
        </w:rPr>
      </w:pPr>
      <w:r w:rsidRPr="00F166A2">
        <w:rPr>
          <w:rFonts w:ascii="Arial" w:hAnsi="Arial" w:cs="Arial"/>
        </w:rPr>
        <w:t>ELHT have p</w:t>
      </w:r>
      <w:r w:rsidR="002813DC" w:rsidRPr="00F166A2">
        <w:rPr>
          <w:rFonts w:ascii="Arial" w:hAnsi="Arial" w:cs="Arial"/>
        </w:rPr>
        <w:t xml:space="preserve">rovided a 12 month baseline of </w:t>
      </w:r>
      <w:r w:rsidRPr="00F166A2">
        <w:rPr>
          <w:rFonts w:ascii="Arial" w:hAnsi="Arial" w:cs="Arial"/>
        </w:rPr>
        <w:t>‘cancer demand’</w:t>
      </w:r>
      <w:r w:rsidR="002813DC" w:rsidRPr="00F166A2">
        <w:rPr>
          <w:rFonts w:ascii="Arial" w:hAnsi="Arial" w:cs="Arial"/>
        </w:rPr>
        <w:t xml:space="preserve">. </w:t>
      </w:r>
      <w:r w:rsidR="00551167" w:rsidRPr="00F166A2">
        <w:rPr>
          <w:rFonts w:ascii="Arial" w:hAnsi="Arial" w:cs="Arial"/>
        </w:rPr>
        <w:t xml:space="preserve"> </w:t>
      </w:r>
      <w:r w:rsidRPr="00F166A2">
        <w:rPr>
          <w:rFonts w:ascii="Arial" w:hAnsi="Arial" w:cs="Arial"/>
        </w:rPr>
        <w:t xml:space="preserve"> </w:t>
      </w:r>
      <w:r w:rsidR="00736F2E" w:rsidRPr="00F166A2">
        <w:rPr>
          <w:rFonts w:ascii="Arial" w:hAnsi="Arial" w:cs="Arial"/>
        </w:rPr>
        <w:t>This</w:t>
      </w:r>
      <w:r w:rsidR="00551167" w:rsidRPr="00F166A2">
        <w:rPr>
          <w:rFonts w:ascii="Arial" w:hAnsi="Arial" w:cs="Arial"/>
        </w:rPr>
        <w:t xml:space="preserve"> data  has been shared with the CCG</w:t>
      </w:r>
      <w:r w:rsidR="00CB4102" w:rsidRPr="00F166A2">
        <w:rPr>
          <w:rFonts w:ascii="Arial" w:hAnsi="Arial" w:cs="Arial"/>
        </w:rPr>
        <w:t>s</w:t>
      </w:r>
      <w:r w:rsidR="00F517A8" w:rsidRPr="00F166A2">
        <w:rPr>
          <w:rFonts w:ascii="Arial" w:hAnsi="Arial" w:cs="Arial"/>
        </w:rPr>
        <w:t xml:space="preserve">. Using this </w:t>
      </w:r>
      <w:r w:rsidR="002813DC" w:rsidRPr="00F166A2">
        <w:rPr>
          <w:rFonts w:ascii="Arial" w:hAnsi="Arial" w:cs="Arial"/>
        </w:rPr>
        <w:t>and the 2 week wait</w:t>
      </w:r>
      <w:r w:rsidR="00CB4102" w:rsidRPr="00F166A2">
        <w:rPr>
          <w:rFonts w:ascii="Arial" w:hAnsi="Arial" w:cs="Arial"/>
        </w:rPr>
        <w:t xml:space="preserve"> referral numbers, a health economy 5 year demand model has been developed. The anticipated increased demand</w:t>
      </w:r>
      <w:r w:rsidR="002813DC" w:rsidRPr="00F166A2">
        <w:rPr>
          <w:rFonts w:ascii="Arial" w:hAnsi="Arial" w:cs="Arial"/>
        </w:rPr>
        <w:t>,</w:t>
      </w:r>
      <w:r w:rsidR="00CB4102" w:rsidRPr="00F166A2">
        <w:rPr>
          <w:rFonts w:ascii="Arial" w:hAnsi="Arial" w:cs="Arial"/>
        </w:rPr>
        <w:t xml:space="preserve"> along with the </w:t>
      </w:r>
      <w:r w:rsidR="00F517A8" w:rsidRPr="00F166A2">
        <w:rPr>
          <w:rFonts w:ascii="Arial" w:hAnsi="Arial" w:cs="Arial"/>
        </w:rPr>
        <w:t>rationale</w:t>
      </w:r>
      <w:r w:rsidR="002813DC" w:rsidRPr="00F166A2">
        <w:rPr>
          <w:rFonts w:ascii="Arial" w:hAnsi="Arial" w:cs="Arial"/>
        </w:rPr>
        <w:t xml:space="preserve"> and assumptions</w:t>
      </w:r>
      <w:r w:rsidR="00CB4102" w:rsidRPr="00F166A2">
        <w:rPr>
          <w:rFonts w:ascii="Arial" w:hAnsi="Arial" w:cs="Arial"/>
        </w:rPr>
        <w:t xml:space="preserve"> behind them</w:t>
      </w:r>
      <w:r w:rsidR="002813DC" w:rsidRPr="00F166A2">
        <w:rPr>
          <w:rFonts w:ascii="Arial" w:hAnsi="Arial" w:cs="Arial"/>
        </w:rPr>
        <w:t>,</w:t>
      </w:r>
      <w:r w:rsidR="00487169">
        <w:rPr>
          <w:rFonts w:ascii="Arial" w:hAnsi="Arial" w:cs="Arial"/>
        </w:rPr>
        <w:t xml:space="preserve"> were</w:t>
      </w:r>
      <w:r w:rsidR="00CB4102" w:rsidRPr="00F166A2">
        <w:rPr>
          <w:rFonts w:ascii="Arial" w:hAnsi="Arial" w:cs="Arial"/>
        </w:rPr>
        <w:t xml:space="preserve"> considered by </w:t>
      </w:r>
      <w:r w:rsidR="00CB4102" w:rsidRPr="00F166A2">
        <w:rPr>
          <w:rFonts w:ascii="Arial" w:hAnsi="Arial" w:cs="Arial"/>
        </w:rPr>
        <w:lastRenderedPageBreak/>
        <w:t>the NICE task and finish group</w:t>
      </w:r>
      <w:r w:rsidR="002813DC" w:rsidRPr="00F166A2">
        <w:rPr>
          <w:rFonts w:ascii="Arial" w:hAnsi="Arial" w:cs="Arial"/>
        </w:rPr>
        <w:t xml:space="preserve">.  This group </w:t>
      </w:r>
      <w:r w:rsidR="00CB4102" w:rsidRPr="00F166A2">
        <w:rPr>
          <w:rFonts w:ascii="Arial" w:hAnsi="Arial" w:cs="Arial"/>
        </w:rPr>
        <w:t>agreed</w:t>
      </w:r>
      <w:r w:rsidR="002813DC" w:rsidRPr="00F166A2">
        <w:rPr>
          <w:rFonts w:ascii="Arial" w:hAnsi="Arial" w:cs="Arial"/>
        </w:rPr>
        <w:t xml:space="preserve"> that it provided a reasonable basis on which to identify capacity requirements to deliver the above</w:t>
      </w:r>
      <w:r w:rsidR="00F166A2" w:rsidRPr="00F166A2">
        <w:rPr>
          <w:rFonts w:ascii="Arial" w:hAnsi="Arial" w:cs="Arial"/>
        </w:rPr>
        <w:t>.</w:t>
      </w:r>
      <w:r w:rsidR="00FC11FE">
        <w:rPr>
          <w:rFonts w:ascii="Arial" w:hAnsi="Arial" w:cs="Arial"/>
        </w:rPr>
        <w:t xml:space="preserve"> </w:t>
      </w:r>
    </w:p>
    <w:p w:rsidR="00FC11FE" w:rsidRDefault="00FC11FE" w:rsidP="002813DC">
      <w:pPr>
        <w:pStyle w:val="ListParagraph"/>
        <w:rPr>
          <w:rFonts w:ascii="Arial" w:hAnsi="Arial" w:cs="Arial"/>
        </w:rPr>
      </w:pPr>
    </w:p>
    <w:p w:rsidR="00FD404C" w:rsidRPr="00FD404C" w:rsidRDefault="00FC11FE" w:rsidP="00513979">
      <w:pPr>
        <w:spacing w:after="200"/>
        <w:ind w:left="720"/>
        <w:rPr>
          <w:rFonts w:cs="Arial"/>
        </w:rPr>
      </w:pPr>
      <w:r>
        <w:rPr>
          <w:rFonts w:cs="Arial"/>
        </w:rPr>
        <w:t xml:space="preserve">Work continues to refine </w:t>
      </w:r>
      <w:r w:rsidR="00FD404C" w:rsidRPr="00FD404C">
        <w:rPr>
          <w:rFonts w:cs="Arial"/>
        </w:rPr>
        <w:t>the modelling process, identify gaps in capacity and agree a health system approach to building the required capacity.</w:t>
      </w:r>
    </w:p>
    <w:p w:rsidR="009579DA" w:rsidRDefault="00FD404C" w:rsidP="00513979">
      <w:pPr>
        <w:spacing w:after="200"/>
        <w:ind w:left="720"/>
        <w:rPr>
          <w:rFonts w:cs="Arial"/>
          <w:highlight w:val="yellow"/>
        </w:rPr>
      </w:pPr>
      <w:r w:rsidRPr="00FD404C">
        <w:rPr>
          <w:rFonts w:cs="Arial"/>
        </w:rPr>
        <w:t xml:space="preserve">A paper outlining the capacity and demand modelling exercise and the implications for both providers and commissioners </w:t>
      </w:r>
      <w:r w:rsidR="00487169">
        <w:rPr>
          <w:rFonts w:cs="Arial"/>
        </w:rPr>
        <w:t xml:space="preserve">has </w:t>
      </w:r>
      <w:r w:rsidR="00C64E23">
        <w:rPr>
          <w:rFonts w:cs="Arial"/>
        </w:rPr>
        <w:t xml:space="preserve">been </w:t>
      </w:r>
      <w:r w:rsidR="00C64E23" w:rsidRPr="00FD404C">
        <w:rPr>
          <w:rFonts w:cs="Arial"/>
        </w:rPr>
        <w:t>taken</w:t>
      </w:r>
      <w:r w:rsidRPr="00FD404C">
        <w:rPr>
          <w:rFonts w:cs="Arial"/>
        </w:rPr>
        <w:t xml:space="preserve"> to CBG and QPEC at BwD CCG and to </w:t>
      </w:r>
      <w:r w:rsidR="00C64E23" w:rsidRPr="00FD404C">
        <w:rPr>
          <w:rFonts w:cs="Arial"/>
        </w:rPr>
        <w:t>LDG at</w:t>
      </w:r>
      <w:r w:rsidRPr="00FD404C">
        <w:rPr>
          <w:rFonts w:cs="Arial"/>
        </w:rPr>
        <w:t xml:space="preserve"> East Lancashire CCG for their support.</w:t>
      </w:r>
      <w:r w:rsidR="002813DC" w:rsidRPr="002813DC">
        <w:rPr>
          <w:rFonts w:cs="Arial"/>
          <w:color w:val="FF0000"/>
        </w:rPr>
        <w:t xml:space="preserve"> </w:t>
      </w:r>
    </w:p>
    <w:p w:rsidR="00252F33" w:rsidRDefault="00D65223" w:rsidP="00D65223">
      <w:pPr>
        <w:pStyle w:val="ListParagraph"/>
        <w:numPr>
          <w:ilvl w:val="0"/>
          <w:numId w:val="3"/>
        </w:numPr>
        <w:rPr>
          <w:rFonts w:ascii="Arial" w:hAnsi="Arial" w:cs="Arial"/>
        </w:rPr>
      </w:pPr>
      <w:r w:rsidRPr="008B7F5D">
        <w:rPr>
          <w:rFonts w:ascii="Arial" w:hAnsi="Arial" w:cs="Arial"/>
        </w:rPr>
        <w:t xml:space="preserve">A Pennine Lancashire Cancer Tactical Group has been established which is </w:t>
      </w:r>
      <w:r w:rsidR="00736F2E">
        <w:rPr>
          <w:rFonts w:ascii="Arial" w:hAnsi="Arial" w:cs="Arial"/>
        </w:rPr>
        <w:t>continuing to meet</w:t>
      </w:r>
      <w:r w:rsidRPr="008B7F5D">
        <w:rPr>
          <w:rFonts w:ascii="Arial" w:hAnsi="Arial" w:cs="Arial"/>
        </w:rPr>
        <w:t xml:space="preserve"> on a monthly basis.  TOR and </w:t>
      </w:r>
      <w:r w:rsidR="008F7644">
        <w:rPr>
          <w:rFonts w:ascii="Arial" w:hAnsi="Arial" w:cs="Arial"/>
        </w:rPr>
        <w:t xml:space="preserve">membership have been agreed, with </w:t>
      </w:r>
      <w:r w:rsidRPr="008B7F5D">
        <w:rPr>
          <w:rFonts w:ascii="Arial" w:hAnsi="Arial" w:cs="Arial"/>
        </w:rPr>
        <w:t xml:space="preserve">revised governance arrangements, in particular reporting mechanisms to the Pennine </w:t>
      </w:r>
      <w:r w:rsidR="004A5F9B" w:rsidRPr="008B7F5D">
        <w:rPr>
          <w:rFonts w:ascii="Arial" w:hAnsi="Arial" w:cs="Arial"/>
        </w:rPr>
        <w:t>Lancashire</w:t>
      </w:r>
      <w:r w:rsidR="004A5F9B">
        <w:rPr>
          <w:rFonts w:ascii="Arial" w:hAnsi="Arial" w:cs="Arial"/>
        </w:rPr>
        <w:t xml:space="preserve"> Operational</w:t>
      </w:r>
      <w:r w:rsidR="004A5F9B" w:rsidRPr="008B7F5D">
        <w:rPr>
          <w:rFonts w:ascii="Arial" w:hAnsi="Arial" w:cs="Arial"/>
        </w:rPr>
        <w:t xml:space="preserve"> Resilience</w:t>
      </w:r>
      <w:r w:rsidRPr="008B7F5D">
        <w:rPr>
          <w:rFonts w:ascii="Arial" w:hAnsi="Arial" w:cs="Arial"/>
        </w:rPr>
        <w:t xml:space="preserve"> Group are</w:t>
      </w:r>
      <w:r w:rsidR="008B7F5D" w:rsidRPr="008B7F5D">
        <w:rPr>
          <w:rFonts w:ascii="Arial" w:hAnsi="Arial" w:cs="Arial"/>
        </w:rPr>
        <w:t xml:space="preserve"> in place. </w:t>
      </w:r>
    </w:p>
    <w:p w:rsidR="002A53B0" w:rsidRDefault="002A53B0" w:rsidP="002A53B0">
      <w:pPr>
        <w:rPr>
          <w:rFonts w:cs="Arial"/>
        </w:rPr>
      </w:pPr>
    </w:p>
    <w:p w:rsidR="002A53B0" w:rsidRPr="00AC29D8" w:rsidRDefault="002A53B0" w:rsidP="002A53B0">
      <w:pPr>
        <w:pStyle w:val="ListParagraph"/>
        <w:numPr>
          <w:ilvl w:val="0"/>
          <w:numId w:val="3"/>
        </w:numPr>
        <w:rPr>
          <w:rFonts w:cs="Arial"/>
        </w:rPr>
      </w:pPr>
      <w:r>
        <w:rPr>
          <w:rFonts w:ascii="Arial" w:eastAsia="Arial Unicode MS" w:hAnsi="Arial" w:cs="Arial"/>
          <w:color w:val="000000"/>
          <w:u w:color="000000"/>
        </w:rPr>
        <w:t>T</w:t>
      </w:r>
      <w:r w:rsidRPr="002A53B0">
        <w:rPr>
          <w:rFonts w:ascii="Arial" w:eastAsia="Arial Unicode MS" w:hAnsi="Arial" w:cs="Arial"/>
          <w:color w:val="000000"/>
          <w:u w:color="000000"/>
        </w:rPr>
        <w:t xml:space="preserve">he third Cancer Local Improvement Scheme (LIS) </w:t>
      </w:r>
      <w:r w:rsidR="00F166A2">
        <w:rPr>
          <w:rFonts w:ascii="Arial" w:eastAsia="Arial Unicode MS" w:hAnsi="Arial" w:cs="Arial"/>
          <w:color w:val="000000"/>
          <w:u w:color="000000"/>
        </w:rPr>
        <w:t xml:space="preserve">which </w:t>
      </w:r>
      <w:r>
        <w:rPr>
          <w:rFonts w:ascii="Arial" w:eastAsia="Arial Unicode MS" w:hAnsi="Arial" w:cs="Arial"/>
          <w:color w:val="000000"/>
          <w:u w:color="000000"/>
        </w:rPr>
        <w:t xml:space="preserve">has been developed forms one </w:t>
      </w:r>
      <w:r w:rsidR="00EE50F5">
        <w:rPr>
          <w:rFonts w:ascii="Arial" w:eastAsia="Arial Unicode MS" w:hAnsi="Arial" w:cs="Arial"/>
          <w:color w:val="000000"/>
          <w:u w:color="000000"/>
        </w:rPr>
        <w:t xml:space="preserve">element </w:t>
      </w:r>
      <w:r w:rsidR="00EE50F5" w:rsidRPr="002A53B0">
        <w:rPr>
          <w:rFonts w:ascii="Arial" w:eastAsia="Arial Unicode MS" w:hAnsi="Arial" w:cs="Arial"/>
          <w:color w:val="000000"/>
          <w:u w:color="000000"/>
        </w:rPr>
        <w:t>of</w:t>
      </w:r>
      <w:r w:rsidRPr="002A53B0">
        <w:rPr>
          <w:rFonts w:ascii="Arial" w:eastAsia="Arial Unicode MS" w:hAnsi="Arial" w:cs="Arial"/>
          <w:color w:val="000000"/>
          <w:u w:color="000000"/>
        </w:rPr>
        <w:t xml:space="preserve"> the Pennine Lancashire Cancer Action and Implementation Plan. The 2014/15 Cancer LIS won the national Macmillan Excellence Award fo</w:t>
      </w:r>
      <w:r w:rsidR="00F166A2">
        <w:rPr>
          <w:rFonts w:ascii="Arial" w:eastAsia="Arial Unicode MS" w:hAnsi="Arial" w:cs="Arial"/>
          <w:color w:val="000000"/>
          <w:u w:color="000000"/>
        </w:rPr>
        <w:t>r Innovation in Cancer Care. The</w:t>
      </w:r>
      <w:r w:rsidRPr="002A53B0">
        <w:rPr>
          <w:rFonts w:ascii="Arial" w:eastAsia="Arial Unicode MS" w:hAnsi="Arial" w:cs="Arial"/>
          <w:color w:val="000000"/>
          <w:u w:color="000000"/>
        </w:rPr>
        <w:t xml:space="preserve"> </w:t>
      </w:r>
      <w:r w:rsidR="00F166A2">
        <w:rPr>
          <w:rFonts w:ascii="Arial" w:eastAsia="Arial Unicode MS" w:hAnsi="Arial" w:cs="Arial"/>
          <w:color w:val="000000"/>
          <w:u w:color="000000"/>
        </w:rPr>
        <w:t xml:space="preserve">2016 </w:t>
      </w:r>
      <w:r w:rsidRPr="002A53B0">
        <w:rPr>
          <w:rFonts w:ascii="Arial" w:eastAsia="Arial Unicode MS" w:hAnsi="Arial" w:cs="Arial"/>
          <w:color w:val="000000"/>
          <w:u w:color="000000"/>
        </w:rPr>
        <w:t>Cancer LIS is building on, and reflects learning from, previous schemes.  In addition, it is designed to help to support practices implement</w:t>
      </w:r>
      <w:r w:rsidR="00F166A2">
        <w:rPr>
          <w:rFonts w:ascii="Arial" w:eastAsia="Arial Unicode MS" w:hAnsi="Arial" w:cs="Arial"/>
          <w:color w:val="000000"/>
          <w:u w:color="000000"/>
        </w:rPr>
        <w:t xml:space="preserve"> the</w:t>
      </w:r>
      <w:r w:rsidRPr="002A53B0">
        <w:rPr>
          <w:rFonts w:ascii="Arial" w:eastAsia="Arial Unicode MS" w:hAnsi="Arial" w:cs="Arial"/>
          <w:color w:val="000000"/>
          <w:u w:color="000000"/>
        </w:rPr>
        <w:t xml:space="preserve"> new NICE  guidance for suspected cancer whic</w:t>
      </w:r>
      <w:r w:rsidR="00F166A2">
        <w:rPr>
          <w:rFonts w:ascii="Arial" w:eastAsia="Arial Unicode MS" w:hAnsi="Arial" w:cs="Arial"/>
          <w:color w:val="000000"/>
          <w:u w:color="000000"/>
        </w:rPr>
        <w:t>h came out in June 2015 and</w:t>
      </w:r>
      <w:r w:rsidRPr="002A53B0">
        <w:rPr>
          <w:rFonts w:ascii="Arial" w:eastAsia="Arial Unicode MS" w:hAnsi="Arial" w:cs="Arial"/>
          <w:color w:val="000000"/>
          <w:u w:color="000000"/>
        </w:rPr>
        <w:t xml:space="preserve"> to contribute (from a primary care perspective) to the delivery of the ‘must dos’ for 2016/2017 within the NHS constitution, outlined in the NHS Planning Guidance 2016/17 – 2020/21</w:t>
      </w:r>
      <w:r w:rsidR="00F166A2">
        <w:rPr>
          <w:rFonts w:ascii="Arial" w:eastAsia="Arial Unicode MS" w:hAnsi="Arial" w:cs="Arial"/>
          <w:color w:val="000000"/>
          <w:u w:color="000000"/>
        </w:rPr>
        <w:t>. These</w:t>
      </w:r>
      <w:r w:rsidRPr="002A53B0">
        <w:rPr>
          <w:rFonts w:ascii="Arial" w:eastAsia="Arial Unicode MS" w:hAnsi="Arial" w:cs="Arial"/>
          <w:color w:val="000000"/>
          <w:u w:color="000000"/>
        </w:rPr>
        <w:t xml:space="preserve"> include:</w:t>
      </w:r>
    </w:p>
    <w:p w:rsidR="00AC29D8" w:rsidRPr="002A53B0" w:rsidRDefault="00AC29D8" w:rsidP="00AC29D8">
      <w:pPr>
        <w:pStyle w:val="ListParagraph"/>
        <w:rPr>
          <w:rFonts w:cs="Arial"/>
        </w:rPr>
      </w:pPr>
    </w:p>
    <w:p w:rsidR="002A53B0" w:rsidRDefault="002A53B0" w:rsidP="00513979">
      <w:pPr>
        <w:pStyle w:val="ListParagraph"/>
        <w:numPr>
          <w:ilvl w:val="0"/>
          <w:numId w:val="15"/>
        </w:numPr>
        <w:spacing w:after="200"/>
        <w:ind w:left="2127" w:hanging="567"/>
        <w:contextualSpacing/>
        <w:jc w:val="both"/>
        <w:outlineLvl w:val="0"/>
        <w:rPr>
          <w:rFonts w:ascii="Arial" w:eastAsia="Arial Unicode MS" w:hAnsi="Arial" w:cs="Arial"/>
          <w:color w:val="000000"/>
          <w:u w:color="000000"/>
        </w:rPr>
      </w:pPr>
      <w:r>
        <w:rPr>
          <w:rFonts w:ascii="Arial" w:eastAsia="Arial Unicode MS" w:hAnsi="Arial" w:cs="Arial"/>
          <w:color w:val="000000"/>
          <w:u w:color="000000"/>
        </w:rPr>
        <w:t>Delivery of all cancer waiting time standards, focusing on day 62</w:t>
      </w:r>
    </w:p>
    <w:p w:rsidR="002A53B0" w:rsidRDefault="002A53B0" w:rsidP="00513979">
      <w:pPr>
        <w:pStyle w:val="ListParagraph"/>
        <w:numPr>
          <w:ilvl w:val="0"/>
          <w:numId w:val="15"/>
        </w:numPr>
        <w:spacing w:after="200"/>
        <w:ind w:left="2127" w:hanging="567"/>
        <w:contextualSpacing/>
        <w:jc w:val="both"/>
        <w:outlineLvl w:val="0"/>
        <w:rPr>
          <w:rFonts w:ascii="Arial" w:eastAsia="Arial Unicode MS" w:hAnsi="Arial" w:cs="Arial"/>
          <w:color w:val="000000"/>
          <w:u w:color="000000"/>
        </w:rPr>
      </w:pPr>
      <w:r>
        <w:rPr>
          <w:rFonts w:ascii="Arial" w:eastAsia="Arial Unicode MS" w:hAnsi="Arial" w:cs="Arial"/>
          <w:color w:val="000000"/>
          <w:u w:color="000000"/>
        </w:rPr>
        <w:t>Make progress on improving one year survival rates</w:t>
      </w:r>
    </w:p>
    <w:p w:rsidR="002A53B0" w:rsidRDefault="002A53B0" w:rsidP="00513979">
      <w:pPr>
        <w:pStyle w:val="ListParagraph"/>
        <w:numPr>
          <w:ilvl w:val="0"/>
          <w:numId w:val="15"/>
        </w:numPr>
        <w:spacing w:after="200"/>
        <w:ind w:left="2127" w:hanging="567"/>
        <w:contextualSpacing/>
        <w:jc w:val="both"/>
        <w:outlineLvl w:val="0"/>
        <w:rPr>
          <w:rFonts w:ascii="Arial" w:eastAsia="Arial Unicode MS" w:hAnsi="Arial" w:cs="Arial"/>
          <w:color w:val="000000"/>
          <w:u w:color="000000"/>
        </w:rPr>
      </w:pPr>
      <w:r>
        <w:rPr>
          <w:rFonts w:ascii="Arial" w:eastAsia="Arial Unicode MS" w:hAnsi="Arial" w:cs="Arial"/>
          <w:color w:val="000000"/>
          <w:u w:color="000000"/>
        </w:rPr>
        <w:t>Deliver a year on year improvement in the proportion of cancers diagnosed at stage one and stage two</w:t>
      </w:r>
    </w:p>
    <w:p w:rsidR="002A53B0" w:rsidRDefault="002A53B0" w:rsidP="00513979">
      <w:pPr>
        <w:pStyle w:val="ListParagraph"/>
        <w:numPr>
          <w:ilvl w:val="0"/>
          <w:numId w:val="15"/>
        </w:numPr>
        <w:spacing w:after="200"/>
        <w:ind w:left="2127" w:hanging="567"/>
        <w:contextualSpacing/>
        <w:jc w:val="both"/>
        <w:outlineLvl w:val="0"/>
        <w:rPr>
          <w:rFonts w:ascii="Arial" w:eastAsia="Arial Unicode MS" w:hAnsi="Arial" w:cs="Arial"/>
          <w:color w:val="000000"/>
          <w:u w:color="000000"/>
        </w:rPr>
      </w:pPr>
      <w:r>
        <w:rPr>
          <w:rFonts w:ascii="Arial" w:eastAsia="Arial Unicode MS" w:hAnsi="Arial" w:cs="Arial"/>
          <w:color w:val="000000"/>
          <w:u w:color="000000"/>
        </w:rPr>
        <w:t>Reduce the proportion of cancers diagnosed following an emergency admission</w:t>
      </w:r>
    </w:p>
    <w:p w:rsidR="002A53B0" w:rsidRDefault="002A53B0" w:rsidP="00513979">
      <w:pPr>
        <w:pStyle w:val="ListParagraph"/>
        <w:numPr>
          <w:ilvl w:val="0"/>
          <w:numId w:val="15"/>
        </w:numPr>
        <w:spacing w:after="200"/>
        <w:ind w:left="2127" w:hanging="567"/>
        <w:contextualSpacing/>
        <w:jc w:val="both"/>
        <w:outlineLvl w:val="0"/>
        <w:rPr>
          <w:rFonts w:ascii="Arial" w:eastAsia="Arial Unicode MS" w:hAnsi="Arial" w:cs="Arial"/>
          <w:color w:val="000000"/>
          <w:u w:color="000000"/>
        </w:rPr>
      </w:pPr>
      <w:r>
        <w:rPr>
          <w:rFonts w:ascii="Arial" w:eastAsia="Arial Unicode MS" w:hAnsi="Arial" w:cs="Arial"/>
          <w:color w:val="000000"/>
          <w:u w:color="000000"/>
        </w:rPr>
        <w:t>By 2020 achieve the standard of ‘95% patients given a definitive cancer diagnosis, or all clear within 28 days of being referred by a GP</w:t>
      </w:r>
      <w:r w:rsidR="000F0359">
        <w:rPr>
          <w:rFonts w:ascii="Arial" w:eastAsia="Arial Unicode MS" w:hAnsi="Arial" w:cs="Arial"/>
          <w:color w:val="000000"/>
          <w:u w:color="000000"/>
        </w:rPr>
        <w:t>’</w:t>
      </w:r>
    </w:p>
    <w:p w:rsidR="00D65223" w:rsidRPr="002A53B0" w:rsidRDefault="002A53B0" w:rsidP="00513979">
      <w:pPr>
        <w:pStyle w:val="ListParagraph"/>
        <w:numPr>
          <w:ilvl w:val="0"/>
          <w:numId w:val="15"/>
        </w:numPr>
        <w:spacing w:after="200"/>
        <w:ind w:left="2127" w:hanging="567"/>
        <w:contextualSpacing/>
        <w:jc w:val="both"/>
        <w:outlineLvl w:val="0"/>
        <w:rPr>
          <w:rFonts w:ascii="Arial" w:eastAsia="Arial Unicode MS" w:hAnsi="Arial" w:cs="Arial"/>
          <w:color w:val="000000"/>
          <w:u w:color="000000"/>
        </w:rPr>
      </w:pPr>
      <w:r w:rsidRPr="002A53B0">
        <w:rPr>
          <w:rFonts w:ascii="Arial" w:eastAsia="Arial Unicode MS" w:hAnsi="Arial" w:cs="Arial"/>
          <w:color w:val="000000"/>
          <w:u w:color="000000"/>
        </w:rPr>
        <w:t>By 2020 support delivery of the recommendations of the independent taskforce – Achieving World Class Cancer Outcomes</w:t>
      </w:r>
    </w:p>
    <w:p w:rsidR="000115B2" w:rsidRPr="009579DA" w:rsidRDefault="000115B2" w:rsidP="009579DA">
      <w:pPr>
        <w:pStyle w:val="ListParagraph"/>
        <w:ind w:left="360"/>
        <w:rPr>
          <w:rFonts w:cs="Arial"/>
        </w:rPr>
      </w:pPr>
    </w:p>
    <w:p w:rsidR="00B60498" w:rsidRPr="008B7F5D" w:rsidRDefault="00AA33D3" w:rsidP="003D5E42">
      <w:pPr>
        <w:pStyle w:val="ListParagraph"/>
        <w:numPr>
          <w:ilvl w:val="0"/>
          <w:numId w:val="1"/>
        </w:numPr>
        <w:rPr>
          <w:rFonts w:cs="Arial"/>
        </w:rPr>
      </w:pPr>
      <w:r w:rsidRPr="008B7F5D">
        <w:rPr>
          <w:rFonts w:ascii="Arial" w:hAnsi="Arial" w:cs="Arial"/>
        </w:rPr>
        <w:t>The</w:t>
      </w:r>
      <w:r w:rsidR="00B60498" w:rsidRPr="008B7F5D">
        <w:rPr>
          <w:rFonts w:ascii="Arial" w:hAnsi="Arial" w:cs="Arial"/>
        </w:rPr>
        <w:t xml:space="preserve"> cancer CQUIN</w:t>
      </w:r>
      <w:r w:rsidRPr="008B7F5D">
        <w:rPr>
          <w:rFonts w:ascii="Arial" w:hAnsi="Arial" w:cs="Arial"/>
        </w:rPr>
        <w:t xml:space="preserve"> for 15/16 is </w:t>
      </w:r>
      <w:r w:rsidR="004A5F9B" w:rsidRPr="008B7F5D">
        <w:rPr>
          <w:rFonts w:ascii="Arial" w:hAnsi="Arial" w:cs="Arial"/>
        </w:rPr>
        <w:t>ongoing and</w:t>
      </w:r>
      <w:r w:rsidR="00231366" w:rsidRPr="008B7F5D">
        <w:rPr>
          <w:rFonts w:ascii="Arial" w:hAnsi="Arial" w:cs="Arial"/>
        </w:rPr>
        <w:t xml:space="preserve"> reporting has commenced</w:t>
      </w:r>
      <w:r w:rsidR="006550DB">
        <w:rPr>
          <w:rFonts w:ascii="Arial" w:hAnsi="Arial" w:cs="Arial"/>
        </w:rPr>
        <w:t>. The</w:t>
      </w:r>
      <w:r w:rsidR="00850EC3">
        <w:rPr>
          <w:rFonts w:ascii="Arial" w:hAnsi="Arial" w:cs="Arial"/>
        </w:rPr>
        <w:t xml:space="preserve"> </w:t>
      </w:r>
      <w:r w:rsidR="00BD357D" w:rsidRPr="008B7F5D">
        <w:rPr>
          <w:rFonts w:ascii="Arial" w:hAnsi="Arial" w:cs="Arial"/>
        </w:rPr>
        <w:t xml:space="preserve">CQUIN </w:t>
      </w:r>
      <w:r w:rsidR="00850EC3">
        <w:rPr>
          <w:rFonts w:ascii="Arial" w:hAnsi="Arial" w:cs="Arial"/>
        </w:rPr>
        <w:t>for</w:t>
      </w:r>
      <w:r w:rsidR="00BD357D" w:rsidRPr="008B7F5D">
        <w:rPr>
          <w:rFonts w:ascii="Arial" w:hAnsi="Arial" w:cs="Arial"/>
        </w:rPr>
        <w:t xml:space="preserve"> 16/17</w:t>
      </w:r>
      <w:r w:rsidR="006550DB">
        <w:rPr>
          <w:rFonts w:ascii="Arial" w:hAnsi="Arial" w:cs="Arial"/>
        </w:rPr>
        <w:t xml:space="preserve"> has been agreed and is</w:t>
      </w:r>
      <w:r w:rsidR="00850EC3">
        <w:rPr>
          <w:rFonts w:ascii="Arial" w:hAnsi="Arial" w:cs="Arial"/>
        </w:rPr>
        <w:t xml:space="preserve"> a</w:t>
      </w:r>
      <w:r w:rsidR="00BD357D" w:rsidRPr="008B7F5D">
        <w:rPr>
          <w:rFonts w:ascii="Arial" w:hAnsi="Arial" w:cs="Arial"/>
        </w:rPr>
        <w:t xml:space="preserve">imed at supporting delivery of NICE guidance and also focusing on patient engagement and co-design </w:t>
      </w:r>
      <w:r w:rsidR="00F02C09">
        <w:rPr>
          <w:rFonts w:ascii="Arial" w:hAnsi="Arial" w:cs="Arial"/>
        </w:rPr>
        <w:t xml:space="preserve">of the </w:t>
      </w:r>
      <w:r w:rsidR="00BD357D" w:rsidRPr="008B7F5D">
        <w:rPr>
          <w:rFonts w:ascii="Arial" w:hAnsi="Arial" w:cs="Arial"/>
        </w:rPr>
        <w:t>2 week wait</w:t>
      </w:r>
      <w:r w:rsidR="00FC36D4">
        <w:rPr>
          <w:rFonts w:ascii="Arial" w:hAnsi="Arial" w:cs="Arial"/>
        </w:rPr>
        <w:t xml:space="preserve"> patient information and the</w:t>
      </w:r>
      <w:r w:rsidR="00EA036B">
        <w:rPr>
          <w:rFonts w:ascii="Arial" w:hAnsi="Arial" w:cs="Arial"/>
        </w:rPr>
        <w:t xml:space="preserve"> booking offer</w:t>
      </w:r>
      <w:r w:rsidR="00BD357D" w:rsidRPr="008B7F5D">
        <w:rPr>
          <w:rFonts w:ascii="Arial" w:hAnsi="Arial" w:cs="Arial"/>
        </w:rPr>
        <w:t>.</w:t>
      </w:r>
    </w:p>
    <w:p w:rsidR="009201AF" w:rsidRPr="009201AF" w:rsidRDefault="009201AF" w:rsidP="009201AF">
      <w:pPr>
        <w:pStyle w:val="ListParagraph"/>
        <w:rPr>
          <w:rFonts w:cs="Arial"/>
        </w:rPr>
      </w:pPr>
    </w:p>
    <w:p w:rsidR="00D071E0" w:rsidRPr="00D071E0" w:rsidRDefault="009201AF" w:rsidP="00E66D75">
      <w:pPr>
        <w:pStyle w:val="ListParagraph"/>
        <w:numPr>
          <w:ilvl w:val="0"/>
          <w:numId w:val="1"/>
        </w:numPr>
        <w:rPr>
          <w:rFonts w:ascii="Arial" w:hAnsi="Arial" w:cs="Arial"/>
        </w:rPr>
      </w:pPr>
      <w:r w:rsidRPr="00D071E0">
        <w:rPr>
          <w:rFonts w:ascii="Arial" w:hAnsi="Arial" w:cs="Arial"/>
        </w:rPr>
        <w:t>Breach analysis</w:t>
      </w:r>
      <w:r w:rsidR="004C3386" w:rsidRPr="00D071E0">
        <w:rPr>
          <w:rFonts w:ascii="Arial" w:hAnsi="Arial" w:cs="Arial"/>
        </w:rPr>
        <w:t xml:space="preserve"> of </w:t>
      </w:r>
      <w:r w:rsidR="001D3D04" w:rsidRPr="00D071E0">
        <w:rPr>
          <w:rFonts w:ascii="Arial" w:hAnsi="Arial" w:cs="Arial"/>
        </w:rPr>
        <w:t>the</w:t>
      </w:r>
      <w:r w:rsidR="004C3386" w:rsidRPr="00D071E0">
        <w:rPr>
          <w:rFonts w:ascii="Arial" w:hAnsi="Arial" w:cs="Arial"/>
        </w:rPr>
        <w:t xml:space="preserve"> 62 day standard</w:t>
      </w:r>
      <w:r w:rsidRPr="00D071E0">
        <w:rPr>
          <w:rFonts w:ascii="Arial" w:hAnsi="Arial" w:cs="Arial"/>
        </w:rPr>
        <w:t xml:space="preserve"> continues on a monthly </w:t>
      </w:r>
      <w:r w:rsidR="00762DC7" w:rsidRPr="00D071E0">
        <w:rPr>
          <w:rFonts w:ascii="Arial" w:hAnsi="Arial" w:cs="Arial"/>
        </w:rPr>
        <w:t>basis</w:t>
      </w:r>
      <w:r w:rsidR="004C3386" w:rsidRPr="00D071E0">
        <w:rPr>
          <w:rFonts w:ascii="Arial" w:hAnsi="Arial" w:cs="Arial"/>
        </w:rPr>
        <w:t>.</w:t>
      </w:r>
      <w:r w:rsidR="00DE380C" w:rsidRPr="00D071E0">
        <w:rPr>
          <w:rFonts w:ascii="Arial" w:hAnsi="Arial" w:cs="Arial"/>
        </w:rPr>
        <w:t xml:space="preserve">  The decision has been made to focus </w:t>
      </w:r>
      <w:r w:rsidR="00D071E0" w:rsidRPr="00D071E0">
        <w:rPr>
          <w:rFonts w:ascii="Arial" w:hAnsi="Arial" w:cs="Arial"/>
        </w:rPr>
        <w:t xml:space="preserve"> on the following</w:t>
      </w:r>
      <w:r w:rsidR="0062692D">
        <w:rPr>
          <w:rFonts w:ascii="Arial" w:hAnsi="Arial" w:cs="Arial"/>
        </w:rPr>
        <w:t xml:space="preserve"> both in ELHT and other providers</w:t>
      </w:r>
      <w:r w:rsidR="00D071E0" w:rsidRPr="00D071E0">
        <w:rPr>
          <w:rFonts w:ascii="Arial" w:hAnsi="Arial" w:cs="Arial"/>
        </w:rPr>
        <w:t xml:space="preserve">: </w:t>
      </w:r>
    </w:p>
    <w:p w:rsidR="00D071E0" w:rsidRPr="00D071E0" w:rsidRDefault="0091579E" w:rsidP="00D071E0">
      <w:pPr>
        <w:pStyle w:val="ListParagraph"/>
        <w:numPr>
          <w:ilvl w:val="1"/>
          <w:numId w:val="12"/>
        </w:numPr>
        <w:rPr>
          <w:rFonts w:ascii="Arial" w:hAnsi="Arial" w:cs="Arial"/>
        </w:rPr>
      </w:pPr>
      <w:r w:rsidRPr="00D071E0">
        <w:rPr>
          <w:rFonts w:ascii="Arial" w:hAnsi="Arial" w:cs="Arial"/>
        </w:rPr>
        <w:t xml:space="preserve">all </w:t>
      </w:r>
      <w:r w:rsidR="00DE380C" w:rsidRPr="00D071E0">
        <w:rPr>
          <w:rFonts w:ascii="Arial" w:hAnsi="Arial" w:cs="Arial"/>
        </w:rPr>
        <w:t>breaches that are ‘near misses’</w:t>
      </w:r>
      <w:r w:rsidR="00D071E0" w:rsidRPr="00D071E0">
        <w:rPr>
          <w:rFonts w:ascii="Arial" w:hAnsi="Arial" w:cs="Arial"/>
        </w:rPr>
        <w:t xml:space="preserve"> – all tumour sites</w:t>
      </w:r>
    </w:p>
    <w:p w:rsidR="00D071E0" w:rsidRPr="00D071E0" w:rsidRDefault="00D071E0" w:rsidP="00D071E0">
      <w:pPr>
        <w:pStyle w:val="ListParagraph"/>
        <w:numPr>
          <w:ilvl w:val="1"/>
          <w:numId w:val="12"/>
        </w:numPr>
        <w:rPr>
          <w:rFonts w:ascii="Arial" w:hAnsi="Arial" w:cs="Arial"/>
        </w:rPr>
      </w:pPr>
      <w:r w:rsidRPr="00D071E0">
        <w:rPr>
          <w:rFonts w:ascii="Arial" w:hAnsi="Arial" w:cs="Arial"/>
        </w:rPr>
        <w:t>day</w:t>
      </w:r>
      <w:r w:rsidR="00DE380C" w:rsidRPr="00D071E0">
        <w:rPr>
          <w:rFonts w:ascii="Arial" w:hAnsi="Arial" w:cs="Arial"/>
        </w:rPr>
        <w:t xml:space="preserve"> 104</w:t>
      </w:r>
      <w:r w:rsidR="003D5E42" w:rsidRPr="00D071E0">
        <w:rPr>
          <w:rFonts w:ascii="Arial" w:hAnsi="Arial" w:cs="Arial"/>
        </w:rPr>
        <w:t>+</w:t>
      </w:r>
      <w:r w:rsidRPr="00D071E0">
        <w:rPr>
          <w:rFonts w:ascii="Arial" w:hAnsi="Arial" w:cs="Arial"/>
        </w:rPr>
        <w:t xml:space="preserve"> day breaches – all tumour sites</w:t>
      </w:r>
      <w:r w:rsidR="00DF3CCE">
        <w:rPr>
          <w:rFonts w:ascii="Arial" w:hAnsi="Arial" w:cs="Arial"/>
        </w:rPr>
        <w:t xml:space="preserve">, including route cause analysis information and </w:t>
      </w:r>
      <w:r w:rsidR="001E2B4B">
        <w:rPr>
          <w:rFonts w:ascii="Arial" w:hAnsi="Arial" w:cs="Arial"/>
        </w:rPr>
        <w:t>clinical harm review governance processes</w:t>
      </w:r>
    </w:p>
    <w:p w:rsidR="00D071E0" w:rsidRPr="00D071E0" w:rsidRDefault="00D071E0" w:rsidP="00D071E0">
      <w:pPr>
        <w:pStyle w:val="ListParagraph"/>
        <w:numPr>
          <w:ilvl w:val="1"/>
          <w:numId w:val="12"/>
        </w:numPr>
        <w:rPr>
          <w:rFonts w:ascii="Arial" w:hAnsi="Arial" w:cs="Arial"/>
        </w:rPr>
      </w:pPr>
      <w:r w:rsidRPr="00D071E0">
        <w:rPr>
          <w:rFonts w:ascii="Arial" w:hAnsi="Arial" w:cs="Arial"/>
        </w:rPr>
        <w:t xml:space="preserve">all breaches in </w:t>
      </w:r>
      <w:r w:rsidR="0091579E" w:rsidRPr="00D071E0">
        <w:rPr>
          <w:rFonts w:ascii="Arial" w:hAnsi="Arial" w:cs="Arial"/>
        </w:rPr>
        <w:t xml:space="preserve"> a specific tumour site</w:t>
      </w:r>
      <w:r w:rsidRPr="00D071E0">
        <w:rPr>
          <w:rFonts w:ascii="Arial" w:hAnsi="Arial" w:cs="Arial"/>
        </w:rPr>
        <w:t xml:space="preserve"> which </w:t>
      </w:r>
      <w:r w:rsidR="00B4742E">
        <w:rPr>
          <w:rFonts w:ascii="Arial" w:hAnsi="Arial" w:cs="Arial"/>
        </w:rPr>
        <w:t xml:space="preserve">fails for 2 consecutive months </w:t>
      </w:r>
    </w:p>
    <w:p w:rsidR="00D071E0" w:rsidRPr="00D071E0" w:rsidRDefault="00D071E0" w:rsidP="00D071E0">
      <w:pPr>
        <w:pStyle w:val="ListParagraph"/>
        <w:numPr>
          <w:ilvl w:val="1"/>
          <w:numId w:val="12"/>
        </w:numPr>
        <w:rPr>
          <w:rFonts w:ascii="Arial" w:hAnsi="Arial" w:cs="Arial"/>
        </w:rPr>
      </w:pPr>
      <w:r w:rsidRPr="00D071E0">
        <w:rPr>
          <w:rFonts w:ascii="Arial" w:hAnsi="Arial" w:cs="Arial"/>
        </w:rPr>
        <w:t>all breaches where there is a shared provider</w:t>
      </w:r>
    </w:p>
    <w:p w:rsidR="003D5E42" w:rsidRPr="00D071E0" w:rsidRDefault="00D31DB5" w:rsidP="00D071E0">
      <w:pPr>
        <w:pStyle w:val="ListParagraph"/>
        <w:numPr>
          <w:ilvl w:val="1"/>
          <w:numId w:val="12"/>
        </w:numPr>
        <w:rPr>
          <w:rFonts w:cs="Arial"/>
        </w:rPr>
      </w:pPr>
      <w:r>
        <w:rPr>
          <w:rFonts w:ascii="Arial" w:hAnsi="Arial" w:cs="Arial"/>
        </w:rPr>
        <w:t>d</w:t>
      </w:r>
      <w:r w:rsidR="003D5E42" w:rsidRPr="00D071E0">
        <w:rPr>
          <w:rFonts w:ascii="Arial" w:hAnsi="Arial" w:cs="Arial"/>
        </w:rPr>
        <w:t xml:space="preserve">etailed breach analysis of 31 day </w:t>
      </w:r>
      <w:r w:rsidR="00B4742E">
        <w:rPr>
          <w:rFonts w:ascii="Arial" w:hAnsi="Arial" w:cs="Arial"/>
        </w:rPr>
        <w:t>standards has</w:t>
      </w:r>
      <w:r w:rsidR="003D5E42" w:rsidRPr="00D071E0">
        <w:rPr>
          <w:rFonts w:ascii="Arial" w:hAnsi="Arial" w:cs="Arial"/>
        </w:rPr>
        <w:t xml:space="preserve"> commence</w:t>
      </w:r>
      <w:r w:rsidR="00B4742E">
        <w:rPr>
          <w:rFonts w:ascii="Arial" w:hAnsi="Arial" w:cs="Arial"/>
        </w:rPr>
        <w:t>d</w:t>
      </w:r>
      <w:r w:rsidR="003D5E42" w:rsidRPr="00D071E0">
        <w:rPr>
          <w:rFonts w:ascii="Arial" w:hAnsi="Arial" w:cs="Arial"/>
        </w:rPr>
        <w:t xml:space="preserve"> and will follow the same rigorous process as the 62 day breach analysis  </w:t>
      </w:r>
    </w:p>
    <w:p w:rsidR="003D5E42" w:rsidRPr="003D5E42" w:rsidRDefault="003D5E42" w:rsidP="003D5E42">
      <w:pPr>
        <w:rPr>
          <w:rFonts w:cs="Arial"/>
        </w:rPr>
      </w:pPr>
    </w:p>
    <w:p w:rsidR="000D2F52" w:rsidRPr="002A0195" w:rsidRDefault="004C3386" w:rsidP="003D5E42">
      <w:pPr>
        <w:pStyle w:val="ListParagraph"/>
        <w:numPr>
          <w:ilvl w:val="0"/>
          <w:numId w:val="1"/>
        </w:numPr>
        <w:rPr>
          <w:rFonts w:ascii="Arial" w:hAnsi="Arial" w:cs="Arial"/>
          <w:b/>
        </w:rPr>
      </w:pPr>
      <w:r w:rsidRPr="002A0195">
        <w:rPr>
          <w:rFonts w:ascii="Arial" w:hAnsi="Arial" w:cs="Arial"/>
        </w:rPr>
        <w:t>The management of provider performance</w:t>
      </w:r>
      <w:r w:rsidR="00D31DB5" w:rsidRPr="002A0195">
        <w:rPr>
          <w:rFonts w:ascii="Arial" w:hAnsi="Arial" w:cs="Arial"/>
        </w:rPr>
        <w:t xml:space="preserve"> at </w:t>
      </w:r>
      <w:r w:rsidR="0062692D" w:rsidRPr="002A0195">
        <w:rPr>
          <w:rFonts w:ascii="Arial" w:hAnsi="Arial" w:cs="Arial"/>
        </w:rPr>
        <w:t>both ELHT and other providers</w:t>
      </w:r>
      <w:r w:rsidR="00D31DB5" w:rsidRPr="002A0195">
        <w:rPr>
          <w:rFonts w:ascii="Arial" w:hAnsi="Arial" w:cs="Arial"/>
        </w:rPr>
        <w:t>,</w:t>
      </w:r>
      <w:r w:rsidR="0062692D" w:rsidRPr="002A0195">
        <w:rPr>
          <w:rFonts w:ascii="Arial" w:hAnsi="Arial" w:cs="Arial"/>
        </w:rPr>
        <w:t xml:space="preserve"> </w:t>
      </w:r>
      <w:r w:rsidRPr="002A0195">
        <w:rPr>
          <w:rFonts w:ascii="Arial" w:hAnsi="Arial" w:cs="Arial"/>
        </w:rPr>
        <w:t>where ELCCG is not lead commissioner</w:t>
      </w:r>
      <w:r w:rsidR="00D31DB5" w:rsidRPr="002A0195">
        <w:rPr>
          <w:rFonts w:ascii="Arial" w:hAnsi="Arial" w:cs="Arial"/>
        </w:rPr>
        <w:t>,</w:t>
      </w:r>
      <w:r w:rsidRPr="002A0195">
        <w:rPr>
          <w:rFonts w:ascii="Arial" w:hAnsi="Arial" w:cs="Arial"/>
        </w:rPr>
        <w:t xml:space="preserve"> has been raised with contracting/quality.</w:t>
      </w:r>
      <w:r w:rsidR="00DE380C" w:rsidRPr="002A0195">
        <w:rPr>
          <w:rFonts w:ascii="Arial" w:hAnsi="Arial" w:cs="Arial"/>
        </w:rPr>
        <w:t xml:space="preserve">  Following discussions it has been agreed that information will be requested on the </w:t>
      </w:r>
      <w:r w:rsidR="00DE380C" w:rsidRPr="002A0195">
        <w:rPr>
          <w:rFonts w:ascii="Arial" w:hAnsi="Arial" w:cs="Arial"/>
        </w:rPr>
        <w:lastRenderedPageBreak/>
        <w:t>above type</w:t>
      </w:r>
      <w:r w:rsidR="00D31DB5" w:rsidRPr="002A0195">
        <w:rPr>
          <w:rFonts w:ascii="Arial" w:hAnsi="Arial" w:cs="Arial"/>
        </w:rPr>
        <w:t>s</w:t>
      </w:r>
      <w:r w:rsidR="00DE380C" w:rsidRPr="002A0195">
        <w:rPr>
          <w:rFonts w:ascii="Arial" w:hAnsi="Arial" w:cs="Arial"/>
        </w:rPr>
        <w:t xml:space="preserve"> of breach.  A template </w:t>
      </w:r>
      <w:r w:rsidR="00BD357D" w:rsidRPr="002A0195">
        <w:rPr>
          <w:rFonts w:ascii="Arial" w:hAnsi="Arial" w:cs="Arial"/>
        </w:rPr>
        <w:t xml:space="preserve">has been </w:t>
      </w:r>
      <w:r w:rsidR="008B7F5D" w:rsidRPr="002A0195">
        <w:rPr>
          <w:rFonts w:ascii="Arial" w:hAnsi="Arial" w:cs="Arial"/>
        </w:rPr>
        <w:t xml:space="preserve">developed, </w:t>
      </w:r>
      <w:r w:rsidR="00DE380C" w:rsidRPr="002A0195">
        <w:rPr>
          <w:rFonts w:ascii="Arial" w:hAnsi="Arial" w:cs="Arial"/>
          <w:b/>
        </w:rPr>
        <w:t>all</w:t>
      </w:r>
      <w:r w:rsidR="00DE380C" w:rsidRPr="002A0195">
        <w:rPr>
          <w:rFonts w:ascii="Arial" w:hAnsi="Arial" w:cs="Arial"/>
        </w:rPr>
        <w:t xml:space="preserve"> providers</w:t>
      </w:r>
      <w:r w:rsidR="0062692D" w:rsidRPr="002A0195">
        <w:rPr>
          <w:rFonts w:ascii="Arial" w:hAnsi="Arial" w:cs="Arial"/>
        </w:rPr>
        <w:t xml:space="preserve"> (including ELHT) </w:t>
      </w:r>
      <w:r w:rsidR="00DE380C" w:rsidRPr="002A0195">
        <w:rPr>
          <w:rFonts w:ascii="Arial" w:hAnsi="Arial" w:cs="Arial"/>
        </w:rPr>
        <w:t>will be asked to complete this</w:t>
      </w:r>
      <w:r w:rsidR="00F02C09" w:rsidRPr="002A0195">
        <w:rPr>
          <w:rFonts w:ascii="Arial" w:hAnsi="Arial" w:cs="Arial"/>
        </w:rPr>
        <w:t>.</w:t>
      </w:r>
      <w:r w:rsidR="00DE380C" w:rsidRPr="002A0195">
        <w:rPr>
          <w:rFonts w:ascii="Arial" w:hAnsi="Arial" w:cs="Arial"/>
        </w:rPr>
        <w:t xml:space="preserve">  Response</w:t>
      </w:r>
      <w:r w:rsidR="000D2F52" w:rsidRPr="002A0195">
        <w:rPr>
          <w:rFonts w:ascii="Arial" w:hAnsi="Arial" w:cs="Arial"/>
        </w:rPr>
        <w:t>s</w:t>
      </w:r>
      <w:r w:rsidR="00DE380C" w:rsidRPr="002A0195">
        <w:rPr>
          <w:rFonts w:ascii="Arial" w:hAnsi="Arial" w:cs="Arial"/>
        </w:rPr>
        <w:t xml:space="preserve"> will be reviewed and action plans agreed at our monthly performance/</w:t>
      </w:r>
      <w:r w:rsidR="000D2F52" w:rsidRPr="002A0195">
        <w:rPr>
          <w:rFonts w:ascii="Arial" w:hAnsi="Arial" w:cs="Arial"/>
        </w:rPr>
        <w:t xml:space="preserve">contracting meetings which will be reported to the Tactical Group. </w:t>
      </w:r>
    </w:p>
    <w:p w:rsidR="003D5E42" w:rsidRPr="003D5E42" w:rsidRDefault="003D5E42" w:rsidP="003D5E42">
      <w:pPr>
        <w:rPr>
          <w:rFonts w:cs="Arial"/>
          <w:b/>
        </w:rPr>
      </w:pPr>
    </w:p>
    <w:p w:rsidR="00797EAB" w:rsidRPr="00EE50F5" w:rsidRDefault="000D2F52" w:rsidP="003D5E42">
      <w:pPr>
        <w:pStyle w:val="ListParagraph"/>
        <w:numPr>
          <w:ilvl w:val="0"/>
          <w:numId w:val="1"/>
        </w:numPr>
        <w:rPr>
          <w:rFonts w:cs="Arial"/>
          <w:b/>
        </w:rPr>
      </w:pPr>
      <w:r w:rsidRPr="00EE50F5">
        <w:rPr>
          <w:rFonts w:ascii="Arial" w:hAnsi="Arial" w:cs="Arial"/>
        </w:rPr>
        <w:t xml:space="preserve">In cases where Specialist </w:t>
      </w:r>
      <w:r w:rsidR="00761E8F" w:rsidRPr="00EE50F5">
        <w:rPr>
          <w:rFonts w:ascii="Arial" w:hAnsi="Arial" w:cs="Arial"/>
        </w:rPr>
        <w:t>Commissioning commissions</w:t>
      </w:r>
      <w:r w:rsidRPr="00EE50F5">
        <w:rPr>
          <w:rFonts w:ascii="Arial" w:hAnsi="Arial" w:cs="Arial"/>
        </w:rPr>
        <w:t xml:space="preserve"> the service, these cases will be forwarded to them for information and any required action. </w:t>
      </w:r>
    </w:p>
    <w:p w:rsidR="00EE50F5" w:rsidRDefault="00EE50F5" w:rsidP="00EE50F5">
      <w:pPr>
        <w:rPr>
          <w:rFonts w:cs="Arial"/>
          <w:b/>
        </w:rPr>
      </w:pPr>
    </w:p>
    <w:p w:rsidR="003D5E42" w:rsidRPr="00867AD6" w:rsidRDefault="003D5E42" w:rsidP="00867AD6">
      <w:pPr>
        <w:pStyle w:val="ListParagraph"/>
        <w:numPr>
          <w:ilvl w:val="0"/>
          <w:numId w:val="1"/>
        </w:numPr>
        <w:spacing w:after="200" w:line="276" w:lineRule="auto"/>
        <w:rPr>
          <w:rFonts w:ascii="Arial" w:hAnsi="Arial" w:cs="Arial"/>
          <w:b/>
        </w:rPr>
      </w:pPr>
      <w:r w:rsidRPr="00867AD6">
        <w:rPr>
          <w:rFonts w:ascii="Arial" w:hAnsi="Arial" w:cs="Arial"/>
          <w:b/>
        </w:rPr>
        <w:t>Cancer Pathway redesign:</w:t>
      </w:r>
    </w:p>
    <w:p w:rsidR="003D5E42" w:rsidRPr="00AC29D8" w:rsidRDefault="003D5E42" w:rsidP="00EE27ED">
      <w:pPr>
        <w:pStyle w:val="ListParagraph"/>
        <w:numPr>
          <w:ilvl w:val="0"/>
          <w:numId w:val="18"/>
        </w:numPr>
        <w:spacing w:after="200" w:line="276" w:lineRule="auto"/>
        <w:contextualSpacing/>
        <w:rPr>
          <w:rFonts w:ascii="Arial" w:hAnsi="Arial" w:cs="Arial"/>
        </w:rPr>
      </w:pPr>
      <w:r w:rsidRPr="00AC29D8">
        <w:rPr>
          <w:rFonts w:ascii="Arial" w:hAnsi="Arial" w:cs="Arial"/>
        </w:rPr>
        <w:t>Haematology</w:t>
      </w:r>
    </w:p>
    <w:p w:rsidR="003D5E42" w:rsidRPr="00AC29D8" w:rsidRDefault="003D5E42" w:rsidP="00EE27ED">
      <w:pPr>
        <w:pStyle w:val="ListParagraph"/>
        <w:numPr>
          <w:ilvl w:val="0"/>
          <w:numId w:val="18"/>
        </w:numPr>
        <w:spacing w:after="200" w:line="276" w:lineRule="auto"/>
        <w:contextualSpacing/>
        <w:rPr>
          <w:rFonts w:ascii="Arial" w:hAnsi="Arial" w:cs="Arial"/>
        </w:rPr>
      </w:pPr>
      <w:r w:rsidRPr="00AC29D8">
        <w:rPr>
          <w:rFonts w:ascii="Arial" w:hAnsi="Arial" w:cs="Arial"/>
        </w:rPr>
        <w:t>Lower GI</w:t>
      </w:r>
    </w:p>
    <w:p w:rsidR="003D5E42" w:rsidRPr="00AC29D8" w:rsidRDefault="003D5E42" w:rsidP="00EE27ED">
      <w:pPr>
        <w:pStyle w:val="ListParagraph"/>
        <w:numPr>
          <w:ilvl w:val="0"/>
          <w:numId w:val="18"/>
        </w:numPr>
        <w:spacing w:after="200" w:line="276" w:lineRule="auto"/>
        <w:contextualSpacing/>
        <w:rPr>
          <w:rFonts w:ascii="Arial" w:hAnsi="Arial" w:cs="Arial"/>
        </w:rPr>
      </w:pPr>
      <w:r w:rsidRPr="00AC29D8">
        <w:rPr>
          <w:rFonts w:ascii="Arial" w:hAnsi="Arial" w:cs="Arial"/>
        </w:rPr>
        <w:t>Upper GI</w:t>
      </w:r>
    </w:p>
    <w:p w:rsidR="003D5E42" w:rsidRPr="00AC29D8" w:rsidRDefault="003D5E42" w:rsidP="00EE27ED">
      <w:pPr>
        <w:pStyle w:val="ListParagraph"/>
        <w:numPr>
          <w:ilvl w:val="0"/>
          <w:numId w:val="18"/>
        </w:numPr>
        <w:spacing w:after="200" w:line="276" w:lineRule="auto"/>
        <w:contextualSpacing/>
        <w:rPr>
          <w:rFonts w:ascii="Arial" w:hAnsi="Arial" w:cs="Arial"/>
        </w:rPr>
      </w:pPr>
      <w:r w:rsidRPr="00AC29D8">
        <w:rPr>
          <w:rFonts w:ascii="Arial" w:hAnsi="Arial" w:cs="Arial"/>
        </w:rPr>
        <w:t>Lung</w:t>
      </w:r>
    </w:p>
    <w:p w:rsidR="003D5E42" w:rsidRPr="00AC29D8" w:rsidRDefault="003D5E42" w:rsidP="00EE27ED">
      <w:pPr>
        <w:pStyle w:val="ListParagraph"/>
        <w:numPr>
          <w:ilvl w:val="0"/>
          <w:numId w:val="18"/>
        </w:numPr>
        <w:tabs>
          <w:tab w:val="left" w:pos="1276"/>
        </w:tabs>
        <w:spacing w:after="200" w:line="276" w:lineRule="auto"/>
        <w:contextualSpacing/>
        <w:rPr>
          <w:rFonts w:ascii="Arial" w:hAnsi="Arial" w:cs="Arial"/>
        </w:rPr>
      </w:pPr>
      <w:r w:rsidRPr="00AC29D8">
        <w:rPr>
          <w:rFonts w:ascii="Arial" w:hAnsi="Arial" w:cs="Arial"/>
        </w:rPr>
        <w:t>Urology</w:t>
      </w:r>
    </w:p>
    <w:p w:rsidR="003D5E42" w:rsidRPr="005D0578" w:rsidRDefault="003D5E42" w:rsidP="0098427A">
      <w:pPr>
        <w:spacing w:after="200" w:line="276" w:lineRule="auto"/>
        <w:ind w:left="720"/>
        <w:contextualSpacing/>
        <w:jc w:val="both"/>
        <w:rPr>
          <w:rFonts w:cs="Arial"/>
          <w:b/>
        </w:rPr>
      </w:pPr>
      <w:r w:rsidRPr="005D0578">
        <w:rPr>
          <w:rFonts w:cs="Arial"/>
          <w:b/>
        </w:rPr>
        <w:t>Other tumour specific pathways</w:t>
      </w:r>
    </w:p>
    <w:p w:rsidR="003D5E42" w:rsidRPr="003D5E42" w:rsidRDefault="003D5E42" w:rsidP="004C5BF0">
      <w:pPr>
        <w:tabs>
          <w:tab w:val="left" w:pos="1276"/>
        </w:tabs>
        <w:spacing w:after="200"/>
        <w:ind w:left="720"/>
        <w:contextualSpacing/>
        <w:rPr>
          <w:rFonts w:cs="Arial"/>
        </w:rPr>
      </w:pPr>
      <w:r w:rsidRPr="003D5E42">
        <w:rPr>
          <w:rFonts w:cs="Arial"/>
        </w:rPr>
        <w:t>In addition to those areas outlined in the Cancer Network Cancer Waiting time report, redesign is also taking place in breast (now complete and implemented) and gynaecology referral pathway which also forms one element of the 15/16 cancer CQUIN, to be implemented at the end of quarter 3</w:t>
      </w:r>
    </w:p>
    <w:p w:rsidR="003D5E42" w:rsidRPr="003D5E42" w:rsidRDefault="003D5E42" w:rsidP="00EA007D">
      <w:pPr>
        <w:ind w:left="720"/>
        <w:jc w:val="both"/>
        <w:rPr>
          <w:rFonts w:cs="Arial"/>
          <w:lang w:eastAsia="en-GB"/>
        </w:rPr>
      </w:pPr>
    </w:p>
    <w:p w:rsidR="003D5E42" w:rsidRPr="003D5E42" w:rsidRDefault="003D5E42" w:rsidP="00422341">
      <w:pPr>
        <w:spacing w:after="200"/>
        <w:ind w:left="720"/>
        <w:rPr>
          <w:rFonts w:cs="Arial"/>
        </w:rPr>
      </w:pPr>
      <w:r w:rsidRPr="003D5E42">
        <w:rPr>
          <w:rFonts w:cs="Arial"/>
        </w:rPr>
        <w:t xml:space="preserve">The above referral pathway redesign will speed up the process from referral to diagnosis in line with Nice Referral Guidance and the direction of travel outlined in the document ‘Achieving world class cancer outcomes 2015 -2016’.  </w:t>
      </w:r>
    </w:p>
    <w:p w:rsidR="003D5E42" w:rsidRPr="003D5E42" w:rsidRDefault="003D5E42" w:rsidP="00422341">
      <w:pPr>
        <w:spacing w:after="200"/>
        <w:ind w:left="720"/>
        <w:rPr>
          <w:rFonts w:cs="Arial"/>
        </w:rPr>
      </w:pPr>
      <w:r w:rsidRPr="003D5E42">
        <w:rPr>
          <w:rFonts w:cs="Arial"/>
        </w:rPr>
        <w:t>The above ‘sur</w:t>
      </w:r>
      <w:r w:rsidR="007856C5">
        <w:rPr>
          <w:rFonts w:cs="Arial"/>
        </w:rPr>
        <w:t>vivorship’ pathway redesign</w:t>
      </w:r>
      <w:r w:rsidRPr="003D5E42">
        <w:rPr>
          <w:rFonts w:cs="Arial"/>
        </w:rPr>
        <w:t xml:space="preserve"> move</w:t>
      </w:r>
      <w:r w:rsidR="007856C5">
        <w:rPr>
          <w:rFonts w:cs="Arial"/>
        </w:rPr>
        <w:t>s</w:t>
      </w:r>
      <w:r w:rsidRPr="003D5E42">
        <w:rPr>
          <w:rFonts w:cs="Arial"/>
        </w:rPr>
        <w:t xml:space="preserve"> towards </w:t>
      </w:r>
      <w:r w:rsidR="007856C5">
        <w:rPr>
          <w:rFonts w:cs="Arial"/>
        </w:rPr>
        <w:t>a</w:t>
      </w:r>
      <w:r w:rsidRPr="003D5E42">
        <w:rPr>
          <w:rFonts w:cs="Arial"/>
        </w:rPr>
        <w:t xml:space="preserve"> supported self-management model, improving patient experience and reducing demand on secondary care with a more effective use of their resources which will </w:t>
      </w:r>
      <w:r w:rsidR="00761E8F" w:rsidRPr="003D5E42">
        <w:rPr>
          <w:rFonts w:cs="Arial"/>
        </w:rPr>
        <w:t>be required</w:t>
      </w:r>
      <w:r w:rsidRPr="003D5E42">
        <w:rPr>
          <w:rFonts w:cs="Arial"/>
        </w:rPr>
        <w:t xml:space="preserve"> to meet the projected increasing demand and also increased demand as a result of the NICE referral Guidance</w:t>
      </w:r>
    </w:p>
    <w:p w:rsidR="003D5E42" w:rsidRPr="003D5E42" w:rsidRDefault="003D5E42" w:rsidP="00422341">
      <w:pPr>
        <w:spacing w:after="200"/>
        <w:ind w:left="720"/>
        <w:rPr>
          <w:rFonts w:cs="Arial"/>
        </w:rPr>
      </w:pPr>
      <w:r w:rsidRPr="003D5E42">
        <w:rPr>
          <w:rFonts w:cs="Arial"/>
        </w:rPr>
        <w:t xml:space="preserve">All the </w:t>
      </w:r>
      <w:r w:rsidR="00761E8F" w:rsidRPr="003D5E42">
        <w:rPr>
          <w:rFonts w:cs="Arial"/>
        </w:rPr>
        <w:t>above work</w:t>
      </w:r>
      <w:r w:rsidRPr="003D5E42">
        <w:rPr>
          <w:rFonts w:cs="Arial"/>
        </w:rPr>
        <w:t xml:space="preserve"> is being undertaken in collaboration with ELHT and has involved secondary care clinicians, </w:t>
      </w:r>
      <w:r w:rsidR="00761E8F" w:rsidRPr="003D5E42">
        <w:rPr>
          <w:rFonts w:cs="Arial"/>
        </w:rPr>
        <w:t>GPs,</w:t>
      </w:r>
      <w:r w:rsidRPr="003D5E42">
        <w:rPr>
          <w:rFonts w:cs="Arial"/>
        </w:rPr>
        <w:t xml:space="preserve"> Trust managers and CCGs</w:t>
      </w:r>
    </w:p>
    <w:p w:rsidR="00E74708" w:rsidRPr="005A1169" w:rsidRDefault="00E74708" w:rsidP="00B60498">
      <w:pPr>
        <w:pStyle w:val="ListParagraph"/>
        <w:numPr>
          <w:ilvl w:val="0"/>
          <w:numId w:val="1"/>
        </w:numPr>
        <w:rPr>
          <w:rFonts w:cs="Arial"/>
        </w:rPr>
      </w:pPr>
      <w:r w:rsidRPr="005A1169">
        <w:rPr>
          <w:rFonts w:ascii="Arial" w:hAnsi="Arial" w:cs="Arial"/>
        </w:rPr>
        <w:t xml:space="preserve">A </w:t>
      </w:r>
      <w:r w:rsidR="004B1DB7">
        <w:rPr>
          <w:rFonts w:ascii="Arial" w:hAnsi="Arial" w:cs="Arial"/>
        </w:rPr>
        <w:t xml:space="preserve">patient and public awareness/engagement project group has been established to implement and evaluate a variety of interventions throughout the pathway to improve awareness and engagement and to emphasise to patients </w:t>
      </w:r>
      <w:r w:rsidRPr="005A1169">
        <w:rPr>
          <w:rFonts w:ascii="Arial" w:hAnsi="Arial" w:cs="Arial"/>
        </w:rPr>
        <w:t>the importance of attending the first available appointment following referral under the two week rule</w:t>
      </w:r>
      <w:r w:rsidR="004B1DB7">
        <w:rPr>
          <w:rFonts w:ascii="Arial" w:hAnsi="Arial" w:cs="Arial"/>
        </w:rPr>
        <w:t xml:space="preserve">.  </w:t>
      </w:r>
      <w:r w:rsidR="00FF2E10" w:rsidRPr="005A1169">
        <w:rPr>
          <w:rFonts w:ascii="Arial" w:hAnsi="Arial" w:cs="Arial"/>
        </w:rPr>
        <w:t xml:space="preserve"> </w:t>
      </w:r>
      <w:r w:rsidRPr="005A1169">
        <w:rPr>
          <w:rFonts w:ascii="Arial" w:hAnsi="Arial" w:cs="Arial"/>
        </w:rPr>
        <w:t>It is anticipated that this</w:t>
      </w:r>
      <w:r w:rsidR="00955DA4" w:rsidRPr="005A1169">
        <w:rPr>
          <w:rFonts w:ascii="Arial" w:hAnsi="Arial" w:cs="Arial"/>
        </w:rPr>
        <w:t>,</w:t>
      </w:r>
      <w:r w:rsidR="00FF2E10" w:rsidRPr="005A1169">
        <w:rPr>
          <w:rFonts w:ascii="Arial" w:hAnsi="Arial" w:cs="Arial"/>
        </w:rPr>
        <w:t xml:space="preserve"> elements of the</w:t>
      </w:r>
      <w:r w:rsidR="00105013" w:rsidRPr="005A1169">
        <w:rPr>
          <w:rFonts w:ascii="Arial" w:hAnsi="Arial" w:cs="Arial"/>
        </w:rPr>
        <w:t xml:space="preserve"> cancer LIS16/17 and the proposed Cancer CQUIN </w:t>
      </w:r>
      <w:r w:rsidR="00FF2E10" w:rsidRPr="005A1169">
        <w:rPr>
          <w:rFonts w:ascii="Arial" w:hAnsi="Arial" w:cs="Arial"/>
        </w:rPr>
        <w:t>16/17, will</w:t>
      </w:r>
      <w:r w:rsidRPr="005A1169">
        <w:rPr>
          <w:rFonts w:ascii="Arial" w:hAnsi="Arial" w:cs="Arial"/>
        </w:rPr>
        <w:t xml:space="preserve"> encourage patients to attend their appointments.  In addition, through the Macmillan Project, focus groups/questionnaires have been used to seek views of patients /carers on how to encourage attenda</w:t>
      </w:r>
      <w:r w:rsidR="00105013" w:rsidRPr="005A1169">
        <w:rPr>
          <w:rFonts w:ascii="Arial" w:hAnsi="Arial" w:cs="Arial"/>
        </w:rPr>
        <w:t>nce at first appointment given</w:t>
      </w:r>
      <w:r w:rsidR="00FF2E10" w:rsidRPr="005A1169">
        <w:rPr>
          <w:rFonts w:ascii="Arial" w:hAnsi="Arial" w:cs="Arial"/>
        </w:rPr>
        <w:t>, the results of which are now being analysed. I</w:t>
      </w:r>
      <w:r w:rsidR="00105013" w:rsidRPr="005A1169">
        <w:rPr>
          <w:rFonts w:ascii="Arial" w:hAnsi="Arial" w:cs="Arial"/>
        </w:rPr>
        <w:t>t is also proposed to use these groups to co</w:t>
      </w:r>
      <w:r w:rsidR="00FF2E10" w:rsidRPr="005A1169">
        <w:rPr>
          <w:rFonts w:ascii="Arial" w:hAnsi="Arial" w:cs="Arial"/>
        </w:rPr>
        <w:t>-</w:t>
      </w:r>
      <w:r w:rsidR="00105013" w:rsidRPr="005A1169">
        <w:rPr>
          <w:rFonts w:ascii="Arial" w:hAnsi="Arial" w:cs="Arial"/>
        </w:rPr>
        <w:t>design information which will support patients and encourage them to attend appointment</w:t>
      </w:r>
      <w:r w:rsidR="00FF2E10" w:rsidRPr="005A1169">
        <w:rPr>
          <w:rFonts w:ascii="Arial" w:hAnsi="Arial" w:cs="Arial"/>
        </w:rPr>
        <w:t>s</w:t>
      </w:r>
      <w:r w:rsidRPr="005A1169">
        <w:rPr>
          <w:rFonts w:ascii="Arial" w:hAnsi="Arial" w:cs="Arial"/>
        </w:rPr>
        <w:t xml:space="preserve"> </w:t>
      </w:r>
      <w:r w:rsidR="00FF2E10" w:rsidRPr="005A1169">
        <w:rPr>
          <w:rFonts w:ascii="Arial" w:hAnsi="Arial" w:cs="Arial"/>
        </w:rPr>
        <w:t xml:space="preserve">and to support the possible redesign of the </w:t>
      </w:r>
      <w:r w:rsidR="004A5F9B">
        <w:rPr>
          <w:rFonts w:ascii="Arial" w:hAnsi="Arial" w:cs="Arial"/>
        </w:rPr>
        <w:t>booking offer</w:t>
      </w:r>
      <w:r w:rsidR="00FF2E10" w:rsidRPr="005A1169">
        <w:rPr>
          <w:rFonts w:ascii="Arial" w:hAnsi="Arial" w:cs="Arial"/>
        </w:rPr>
        <w:t xml:space="preserve">.  </w:t>
      </w:r>
      <w:r w:rsidRPr="005A1169">
        <w:rPr>
          <w:rFonts w:ascii="Arial" w:hAnsi="Arial" w:cs="Arial"/>
        </w:rPr>
        <w:t xml:space="preserve"> </w:t>
      </w:r>
      <w:r w:rsidR="00442E45" w:rsidRPr="005A1169">
        <w:rPr>
          <w:rFonts w:ascii="Arial" w:hAnsi="Arial" w:cs="Arial"/>
        </w:rPr>
        <w:t>The intention is</w:t>
      </w:r>
      <w:r w:rsidR="00FF2E10" w:rsidRPr="005A1169">
        <w:rPr>
          <w:rFonts w:ascii="Arial" w:hAnsi="Arial" w:cs="Arial"/>
        </w:rPr>
        <w:t xml:space="preserve"> also </w:t>
      </w:r>
      <w:r w:rsidR="00442E45" w:rsidRPr="005A1169">
        <w:rPr>
          <w:rFonts w:ascii="Arial" w:hAnsi="Arial" w:cs="Arial"/>
        </w:rPr>
        <w:t xml:space="preserve">to develop a </w:t>
      </w:r>
      <w:r w:rsidR="0062618F" w:rsidRPr="005A1169">
        <w:rPr>
          <w:rFonts w:ascii="Arial" w:hAnsi="Arial" w:cs="Arial"/>
        </w:rPr>
        <w:t xml:space="preserve">wider </w:t>
      </w:r>
      <w:r w:rsidR="00442E45" w:rsidRPr="005A1169">
        <w:rPr>
          <w:rFonts w:ascii="Arial" w:hAnsi="Arial" w:cs="Arial"/>
        </w:rPr>
        <w:t>patient engagement strategy</w:t>
      </w:r>
      <w:r w:rsidR="0062618F" w:rsidRPr="005A1169">
        <w:rPr>
          <w:rFonts w:ascii="Arial" w:hAnsi="Arial" w:cs="Arial"/>
        </w:rPr>
        <w:t>.</w:t>
      </w:r>
      <w:r w:rsidR="00867AD6" w:rsidRPr="005A1169">
        <w:rPr>
          <w:rFonts w:ascii="Arial" w:hAnsi="Arial" w:cs="Arial"/>
        </w:rPr>
        <w:t xml:space="preserve"> </w:t>
      </w:r>
    </w:p>
    <w:p w:rsidR="005A1169" w:rsidRPr="005A1169" w:rsidRDefault="005A1169" w:rsidP="005A1169">
      <w:pPr>
        <w:pStyle w:val="ListParagraph"/>
        <w:ind w:left="360"/>
        <w:rPr>
          <w:rFonts w:cs="Arial"/>
        </w:rPr>
      </w:pPr>
    </w:p>
    <w:p w:rsidR="00FD7F8A" w:rsidRPr="003E3ACE" w:rsidRDefault="00F148F4" w:rsidP="00FD7F8A">
      <w:pPr>
        <w:rPr>
          <w:rFonts w:cs="Arial"/>
          <w:b/>
        </w:rPr>
      </w:pPr>
      <w:r>
        <w:rPr>
          <w:rFonts w:cs="Arial"/>
          <w:b/>
        </w:rPr>
        <w:t>4</w:t>
      </w:r>
      <w:r w:rsidR="00FD7F8A" w:rsidRPr="003E3ACE">
        <w:rPr>
          <w:rFonts w:cs="Arial"/>
          <w:b/>
        </w:rPr>
        <w:t>.0</w:t>
      </w:r>
      <w:r w:rsidR="00FD7F8A" w:rsidRPr="003E3ACE">
        <w:rPr>
          <w:rFonts w:cs="Arial"/>
          <w:b/>
        </w:rPr>
        <w:tab/>
        <w:t>Conclusion</w:t>
      </w:r>
    </w:p>
    <w:p w:rsidR="00BC24A5" w:rsidRDefault="005875F0" w:rsidP="00422341">
      <w:pPr>
        <w:ind w:left="720"/>
        <w:rPr>
          <w:rFonts w:cs="Arial"/>
        </w:rPr>
      </w:pPr>
      <w:r>
        <w:rPr>
          <w:rFonts w:cs="Arial"/>
        </w:rPr>
        <w:t xml:space="preserve">From the above it is evident that close monitoring and timely interventions will be required to facilitate achievement </w:t>
      </w:r>
      <w:r w:rsidR="007E45AB">
        <w:rPr>
          <w:rFonts w:cs="Arial"/>
        </w:rPr>
        <w:t>of all cancer waiting time standards</w:t>
      </w:r>
      <w:r>
        <w:rPr>
          <w:rFonts w:cs="Arial"/>
        </w:rPr>
        <w:t xml:space="preserve"> and </w:t>
      </w:r>
      <w:r w:rsidR="003E62CC" w:rsidRPr="003E3ACE">
        <w:rPr>
          <w:rFonts w:cs="Arial"/>
        </w:rPr>
        <w:t xml:space="preserve">demonstrates that the sustained achievement of CWT standards is challenging in the context of current pressures.  </w:t>
      </w:r>
      <w:r w:rsidR="00BC24A5" w:rsidRPr="003E3ACE">
        <w:rPr>
          <w:rFonts w:cs="Arial"/>
        </w:rPr>
        <w:t xml:space="preserve">There is strong collaborative working with ELHT and links have been made with other providers through respective lead commissioners to </w:t>
      </w:r>
      <w:r w:rsidR="00BC24A5" w:rsidRPr="003E3ACE">
        <w:rPr>
          <w:rFonts w:cs="Arial"/>
        </w:rPr>
        <w:lastRenderedPageBreak/>
        <w:t>influence and support them in the achievement of these standards for the patients in Pennine Lancashire.</w:t>
      </w:r>
      <w:r w:rsidR="00BD2B7B">
        <w:rPr>
          <w:rFonts w:cs="Arial"/>
        </w:rPr>
        <w:t xml:space="preserve">  </w:t>
      </w:r>
      <w:r w:rsidR="00BC24A5" w:rsidRPr="003E3ACE">
        <w:rPr>
          <w:rFonts w:cs="Arial"/>
        </w:rPr>
        <w:t>Through robust monitoring of our plans and continued joint working with our provide</w:t>
      </w:r>
      <w:r w:rsidR="009D1712" w:rsidRPr="003E3ACE">
        <w:rPr>
          <w:rFonts w:cs="Arial"/>
        </w:rPr>
        <w:t>rs it is</w:t>
      </w:r>
      <w:r>
        <w:rPr>
          <w:rFonts w:cs="Arial"/>
        </w:rPr>
        <w:t xml:space="preserve"> our aspiration </w:t>
      </w:r>
      <w:r w:rsidR="00F3039B" w:rsidRPr="003E3ACE">
        <w:rPr>
          <w:rFonts w:cs="Arial"/>
        </w:rPr>
        <w:t>that</w:t>
      </w:r>
      <w:r w:rsidR="00BC24A5" w:rsidRPr="003E3ACE">
        <w:rPr>
          <w:rFonts w:cs="Arial"/>
        </w:rPr>
        <w:t xml:space="preserve"> we will achieve an improved and sustained performance against all CWT standards.</w:t>
      </w:r>
    </w:p>
    <w:p w:rsidR="00F351A5" w:rsidRDefault="00F351A5" w:rsidP="00422341">
      <w:pPr>
        <w:ind w:left="720"/>
        <w:rPr>
          <w:rFonts w:cs="Arial"/>
        </w:rPr>
      </w:pPr>
    </w:p>
    <w:p w:rsidR="00F351A5" w:rsidRDefault="00F148F4" w:rsidP="00FD7F8A">
      <w:pPr>
        <w:rPr>
          <w:rFonts w:cs="Arial"/>
          <w:b/>
        </w:rPr>
      </w:pPr>
      <w:r>
        <w:rPr>
          <w:rFonts w:cs="Arial"/>
          <w:b/>
        </w:rPr>
        <w:t>5</w:t>
      </w:r>
      <w:r w:rsidR="00F351A5">
        <w:rPr>
          <w:rFonts w:cs="Arial"/>
          <w:b/>
        </w:rPr>
        <w:t>.0</w:t>
      </w:r>
      <w:r w:rsidR="00F351A5">
        <w:rPr>
          <w:rFonts w:cs="Arial"/>
          <w:b/>
        </w:rPr>
        <w:tab/>
        <w:t>Recommendations</w:t>
      </w:r>
    </w:p>
    <w:p w:rsidR="00F351A5" w:rsidRPr="00F351A5" w:rsidRDefault="00F148F4" w:rsidP="00FD7F8A">
      <w:pPr>
        <w:rPr>
          <w:rFonts w:cs="Arial"/>
        </w:rPr>
      </w:pPr>
      <w:r>
        <w:rPr>
          <w:rFonts w:cs="Arial"/>
          <w:b/>
        </w:rPr>
        <w:t>5</w:t>
      </w:r>
      <w:r w:rsidR="00F351A5">
        <w:rPr>
          <w:rFonts w:cs="Arial"/>
          <w:b/>
        </w:rPr>
        <w:t>.1</w:t>
      </w:r>
      <w:r w:rsidR="00F351A5">
        <w:rPr>
          <w:rFonts w:cs="Arial"/>
          <w:b/>
        </w:rPr>
        <w:tab/>
      </w:r>
      <w:r w:rsidR="00F351A5" w:rsidRPr="00F351A5">
        <w:rPr>
          <w:rFonts w:cs="Arial"/>
        </w:rPr>
        <w:t>To continue to moni</w:t>
      </w:r>
      <w:r w:rsidR="00F351A5">
        <w:rPr>
          <w:rFonts w:cs="Arial"/>
        </w:rPr>
        <w:t>t</w:t>
      </w:r>
      <w:r w:rsidR="00F351A5" w:rsidRPr="00F351A5">
        <w:rPr>
          <w:rFonts w:cs="Arial"/>
        </w:rPr>
        <w:t>o</w:t>
      </w:r>
      <w:r w:rsidR="00E219DE">
        <w:rPr>
          <w:rFonts w:cs="Arial"/>
        </w:rPr>
        <w:t>r performance against cancer waiting time standards</w:t>
      </w:r>
      <w:r w:rsidR="00F351A5" w:rsidRPr="00F351A5">
        <w:rPr>
          <w:rFonts w:cs="Arial"/>
        </w:rPr>
        <w:t xml:space="preserve"> </w:t>
      </w:r>
    </w:p>
    <w:p w:rsidR="00F351A5" w:rsidRPr="00F351A5" w:rsidRDefault="00F148F4" w:rsidP="00C31658">
      <w:pPr>
        <w:ind w:left="720" w:hanging="720"/>
        <w:rPr>
          <w:rFonts w:cs="Arial"/>
        </w:rPr>
      </w:pPr>
      <w:r>
        <w:rPr>
          <w:rFonts w:cs="Arial"/>
          <w:b/>
        </w:rPr>
        <w:t>5</w:t>
      </w:r>
      <w:r w:rsidR="00F351A5">
        <w:rPr>
          <w:rFonts w:cs="Arial"/>
          <w:b/>
        </w:rPr>
        <w:t>.2</w:t>
      </w:r>
      <w:r w:rsidR="00F351A5">
        <w:rPr>
          <w:rFonts w:cs="Arial"/>
          <w:b/>
        </w:rPr>
        <w:tab/>
      </w:r>
      <w:r w:rsidR="00F351A5" w:rsidRPr="00F351A5">
        <w:rPr>
          <w:rFonts w:cs="Arial"/>
        </w:rPr>
        <w:t>To monitor progress against plans and provide assurance of delivery</w:t>
      </w:r>
      <w:r w:rsidR="00F351A5">
        <w:rPr>
          <w:rFonts w:cs="Arial"/>
        </w:rPr>
        <w:t>, escalating through agreed governance structures</w:t>
      </w:r>
      <w:r w:rsidR="00E219DE">
        <w:rPr>
          <w:rFonts w:cs="Arial"/>
        </w:rPr>
        <w:t>,</w:t>
      </w:r>
      <w:r w:rsidR="00F351A5">
        <w:rPr>
          <w:rFonts w:cs="Arial"/>
        </w:rPr>
        <w:t xml:space="preserve"> any areas of concern</w:t>
      </w:r>
    </w:p>
    <w:p w:rsidR="00FD7F8A" w:rsidRDefault="00FD7F8A" w:rsidP="00FD7F8A">
      <w:pPr>
        <w:rPr>
          <w:rFonts w:cs="Arial"/>
          <w:b/>
        </w:rPr>
      </w:pPr>
    </w:p>
    <w:p w:rsidR="00AA7AC5" w:rsidRDefault="00AA7AC5" w:rsidP="00FD7F8A">
      <w:pPr>
        <w:rPr>
          <w:rFonts w:cs="Arial"/>
          <w:b/>
        </w:rPr>
      </w:pPr>
    </w:p>
    <w:p w:rsidR="00E74708" w:rsidRPr="00797EAB" w:rsidRDefault="00E74708" w:rsidP="00E74708">
      <w:pPr>
        <w:tabs>
          <w:tab w:val="left" w:pos="1920"/>
        </w:tabs>
        <w:rPr>
          <w:b/>
          <w:sz w:val="20"/>
          <w:szCs w:val="20"/>
        </w:rPr>
      </w:pPr>
      <w:r w:rsidRPr="00797EAB">
        <w:rPr>
          <w:b/>
          <w:sz w:val="20"/>
          <w:szCs w:val="20"/>
        </w:rPr>
        <w:t xml:space="preserve">Lynn Scott </w:t>
      </w:r>
    </w:p>
    <w:p w:rsidR="00797EAB" w:rsidRPr="00797EAB" w:rsidRDefault="00E74708" w:rsidP="00E74708">
      <w:pPr>
        <w:tabs>
          <w:tab w:val="left" w:pos="1920"/>
        </w:tabs>
        <w:rPr>
          <w:b/>
          <w:sz w:val="20"/>
          <w:szCs w:val="20"/>
        </w:rPr>
      </w:pPr>
      <w:r w:rsidRPr="00797EAB">
        <w:rPr>
          <w:b/>
          <w:sz w:val="20"/>
          <w:szCs w:val="20"/>
        </w:rPr>
        <w:t xml:space="preserve">Service Redesign Manager, </w:t>
      </w:r>
    </w:p>
    <w:p w:rsidR="00E74708" w:rsidRPr="00797EAB" w:rsidRDefault="00E74708" w:rsidP="00E74708">
      <w:pPr>
        <w:tabs>
          <w:tab w:val="left" w:pos="1920"/>
        </w:tabs>
        <w:rPr>
          <w:b/>
          <w:sz w:val="20"/>
          <w:szCs w:val="20"/>
        </w:rPr>
      </w:pPr>
      <w:r w:rsidRPr="00797EAB">
        <w:rPr>
          <w:b/>
          <w:sz w:val="20"/>
          <w:szCs w:val="20"/>
        </w:rPr>
        <w:t>Cancer Lead, EL and BwD CCGs</w:t>
      </w:r>
    </w:p>
    <w:p w:rsidR="009D623F" w:rsidRPr="00797EAB" w:rsidRDefault="009D623F" w:rsidP="00E74708">
      <w:pPr>
        <w:tabs>
          <w:tab w:val="left" w:pos="1920"/>
        </w:tabs>
        <w:rPr>
          <w:b/>
          <w:sz w:val="20"/>
          <w:szCs w:val="20"/>
        </w:rPr>
      </w:pPr>
    </w:p>
    <w:p w:rsidR="00B60498" w:rsidRPr="00797EAB" w:rsidRDefault="00B60498" w:rsidP="00B60498">
      <w:pPr>
        <w:tabs>
          <w:tab w:val="left" w:pos="1920"/>
        </w:tabs>
        <w:rPr>
          <w:b/>
          <w:sz w:val="20"/>
          <w:szCs w:val="20"/>
        </w:rPr>
      </w:pPr>
      <w:r w:rsidRPr="00797EAB">
        <w:rPr>
          <w:b/>
          <w:sz w:val="20"/>
          <w:szCs w:val="20"/>
        </w:rPr>
        <w:t>Angela Dunne</w:t>
      </w:r>
    </w:p>
    <w:p w:rsidR="00B60498" w:rsidRPr="00797EAB" w:rsidRDefault="00B60498" w:rsidP="00B60498">
      <w:pPr>
        <w:tabs>
          <w:tab w:val="left" w:pos="1920"/>
        </w:tabs>
        <w:rPr>
          <w:b/>
          <w:sz w:val="20"/>
          <w:szCs w:val="20"/>
        </w:rPr>
      </w:pPr>
      <w:r w:rsidRPr="00797EAB">
        <w:rPr>
          <w:b/>
          <w:sz w:val="20"/>
          <w:szCs w:val="20"/>
        </w:rPr>
        <w:t>Cancer Project Support Officer</w:t>
      </w:r>
      <w:r w:rsidR="00CF6EBF" w:rsidRPr="00797EAB">
        <w:rPr>
          <w:b/>
          <w:sz w:val="20"/>
          <w:szCs w:val="20"/>
        </w:rPr>
        <w:t>, EL and BwD CCGs</w:t>
      </w:r>
    </w:p>
    <w:p w:rsidR="00CF6EBF" w:rsidRPr="00797EAB" w:rsidRDefault="00CF6EBF" w:rsidP="00B60498">
      <w:pPr>
        <w:tabs>
          <w:tab w:val="left" w:pos="1920"/>
        </w:tabs>
        <w:rPr>
          <w:b/>
          <w:sz w:val="20"/>
          <w:szCs w:val="20"/>
        </w:rPr>
      </w:pPr>
    </w:p>
    <w:p w:rsidR="00797EAB" w:rsidRPr="00797EAB" w:rsidRDefault="00CF6EBF" w:rsidP="00AA7AC5">
      <w:pPr>
        <w:tabs>
          <w:tab w:val="left" w:pos="1920"/>
        </w:tabs>
        <w:rPr>
          <w:b/>
          <w:sz w:val="20"/>
          <w:szCs w:val="20"/>
        </w:rPr>
      </w:pPr>
      <w:r w:rsidRPr="00797EAB">
        <w:rPr>
          <w:b/>
          <w:sz w:val="20"/>
          <w:szCs w:val="20"/>
        </w:rPr>
        <w:t>Dr Neil Smith</w:t>
      </w:r>
      <w:r w:rsidR="00BD2B7B" w:rsidRPr="00797EAB">
        <w:rPr>
          <w:b/>
          <w:sz w:val="20"/>
          <w:szCs w:val="20"/>
        </w:rPr>
        <w:t xml:space="preserve">, </w:t>
      </w:r>
      <w:r w:rsidRPr="00797EAB">
        <w:rPr>
          <w:b/>
          <w:sz w:val="20"/>
          <w:szCs w:val="20"/>
        </w:rPr>
        <w:t>Macmillan GP</w:t>
      </w:r>
      <w:r w:rsidR="00F3039B" w:rsidRPr="00797EAB">
        <w:rPr>
          <w:b/>
          <w:sz w:val="20"/>
          <w:szCs w:val="20"/>
        </w:rPr>
        <w:t>, EL</w:t>
      </w:r>
      <w:r w:rsidRPr="00797EAB">
        <w:rPr>
          <w:b/>
          <w:sz w:val="20"/>
          <w:szCs w:val="20"/>
        </w:rPr>
        <w:t xml:space="preserve"> and BwD CCGs</w:t>
      </w:r>
      <w:r w:rsidR="00867AD6" w:rsidRPr="00797EAB">
        <w:rPr>
          <w:b/>
          <w:sz w:val="20"/>
          <w:szCs w:val="20"/>
        </w:rPr>
        <w:tab/>
      </w:r>
      <w:r w:rsidR="00867AD6" w:rsidRPr="00797EAB">
        <w:rPr>
          <w:b/>
          <w:sz w:val="20"/>
          <w:szCs w:val="20"/>
        </w:rPr>
        <w:tab/>
      </w:r>
    </w:p>
    <w:p w:rsidR="00797EAB" w:rsidRPr="00797EAB" w:rsidRDefault="00797EAB" w:rsidP="00AA7AC5">
      <w:pPr>
        <w:tabs>
          <w:tab w:val="left" w:pos="1920"/>
        </w:tabs>
        <w:rPr>
          <w:b/>
          <w:sz w:val="20"/>
          <w:szCs w:val="20"/>
        </w:rPr>
      </w:pPr>
    </w:p>
    <w:p w:rsidR="00797EAB" w:rsidRPr="00797EAB" w:rsidRDefault="00797EAB" w:rsidP="00AA7AC5">
      <w:pPr>
        <w:tabs>
          <w:tab w:val="left" w:pos="1920"/>
        </w:tabs>
        <w:rPr>
          <w:b/>
          <w:sz w:val="20"/>
          <w:szCs w:val="20"/>
        </w:rPr>
      </w:pPr>
    </w:p>
    <w:p w:rsidR="00797EAB" w:rsidRPr="00797EAB" w:rsidRDefault="002A0195" w:rsidP="00797EAB">
      <w:pPr>
        <w:tabs>
          <w:tab w:val="left" w:pos="1920"/>
        </w:tabs>
        <w:rPr>
          <w:b/>
          <w:sz w:val="20"/>
          <w:szCs w:val="20"/>
        </w:rPr>
      </w:pPr>
      <w:r>
        <w:rPr>
          <w:b/>
          <w:sz w:val="20"/>
          <w:szCs w:val="20"/>
        </w:rPr>
        <w:t>1</w:t>
      </w:r>
      <w:r w:rsidRPr="002A0195">
        <w:rPr>
          <w:b/>
          <w:sz w:val="20"/>
          <w:szCs w:val="20"/>
          <w:vertAlign w:val="superscript"/>
        </w:rPr>
        <w:t>st</w:t>
      </w:r>
      <w:r>
        <w:rPr>
          <w:b/>
          <w:sz w:val="20"/>
          <w:szCs w:val="20"/>
        </w:rPr>
        <w:t xml:space="preserve"> June </w:t>
      </w:r>
      <w:r w:rsidR="00FC11FE">
        <w:rPr>
          <w:b/>
          <w:sz w:val="20"/>
          <w:szCs w:val="20"/>
        </w:rPr>
        <w:t xml:space="preserve"> </w:t>
      </w:r>
      <w:r w:rsidR="00797EAB" w:rsidRPr="00797EAB">
        <w:rPr>
          <w:b/>
          <w:sz w:val="20"/>
          <w:szCs w:val="20"/>
        </w:rPr>
        <w:t>201</w:t>
      </w:r>
      <w:r w:rsidR="005360F4">
        <w:rPr>
          <w:b/>
          <w:sz w:val="20"/>
          <w:szCs w:val="20"/>
        </w:rPr>
        <w:t>6</w:t>
      </w:r>
    </w:p>
    <w:p w:rsidR="00AA7AC5" w:rsidRPr="00797EAB" w:rsidRDefault="00867AD6" w:rsidP="00AA7AC5">
      <w:pPr>
        <w:tabs>
          <w:tab w:val="left" w:pos="1920"/>
        </w:tabs>
        <w:rPr>
          <w:b/>
          <w:sz w:val="20"/>
          <w:szCs w:val="20"/>
        </w:rPr>
      </w:pPr>
      <w:r w:rsidRPr="00797EAB">
        <w:rPr>
          <w:b/>
          <w:sz w:val="20"/>
          <w:szCs w:val="20"/>
        </w:rPr>
        <w:tab/>
      </w:r>
      <w:r w:rsidR="00AA7AC5" w:rsidRPr="00797EAB">
        <w:rPr>
          <w:b/>
          <w:sz w:val="20"/>
          <w:szCs w:val="20"/>
        </w:rPr>
        <w:tab/>
      </w:r>
      <w:r w:rsidR="00AA7AC5" w:rsidRPr="00797EAB">
        <w:rPr>
          <w:b/>
          <w:sz w:val="20"/>
          <w:szCs w:val="20"/>
        </w:rPr>
        <w:tab/>
      </w:r>
    </w:p>
    <w:sectPr w:rsidR="00AA7AC5" w:rsidRPr="00797EAB" w:rsidSect="00BD2B7B">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352" w:rsidRDefault="00404352" w:rsidP="003E700A">
      <w:r>
        <w:separator/>
      </w:r>
    </w:p>
  </w:endnote>
  <w:endnote w:type="continuationSeparator" w:id="0">
    <w:p w:rsidR="00404352" w:rsidRDefault="00404352" w:rsidP="003E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4231558"/>
      <w:docPartObj>
        <w:docPartGallery w:val="Page Numbers (Bottom of Page)"/>
        <w:docPartUnique/>
      </w:docPartObj>
    </w:sdtPr>
    <w:sdtEndPr>
      <w:rPr>
        <w:noProof/>
      </w:rPr>
    </w:sdtEndPr>
    <w:sdtContent>
      <w:p w:rsidR="00404352" w:rsidRDefault="00404352">
        <w:pPr>
          <w:pStyle w:val="Footer"/>
          <w:jc w:val="center"/>
        </w:pPr>
        <w:r>
          <w:fldChar w:fldCharType="begin"/>
        </w:r>
        <w:r>
          <w:instrText xml:space="preserve"> PAGE   \* MERGEFORMAT </w:instrText>
        </w:r>
        <w:r>
          <w:fldChar w:fldCharType="separate"/>
        </w:r>
        <w:r w:rsidR="00642290">
          <w:rPr>
            <w:noProof/>
          </w:rPr>
          <w:t>1</w:t>
        </w:r>
        <w:r>
          <w:rPr>
            <w:noProof/>
          </w:rPr>
          <w:fldChar w:fldCharType="end"/>
        </w:r>
      </w:p>
    </w:sdtContent>
  </w:sdt>
  <w:p w:rsidR="00404352" w:rsidRDefault="004043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352" w:rsidRDefault="00404352" w:rsidP="003E700A">
      <w:r>
        <w:separator/>
      </w:r>
    </w:p>
  </w:footnote>
  <w:footnote w:type="continuationSeparator" w:id="0">
    <w:p w:rsidR="00404352" w:rsidRDefault="00404352" w:rsidP="003E7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352" w:rsidRDefault="00404352" w:rsidP="00E05C49">
    <w:pPr>
      <w:pStyle w:val="Header"/>
      <w:jc w:val="right"/>
    </w:pPr>
    <w:r>
      <w:rPr>
        <w:rFonts w:ascii="Times New Roman" w:hAnsi="Times New Roman" w:cs="Times New Roman"/>
        <w:noProof/>
        <w:sz w:val="24"/>
        <w:szCs w:val="24"/>
        <w:lang w:eastAsia="en-GB"/>
      </w:rPr>
      <w:drawing>
        <wp:anchor distT="36576" distB="36576" distL="36576" distR="36576" simplePos="0" relativeHeight="251661312" behindDoc="0" locked="0" layoutInCell="1" allowOverlap="1" wp14:anchorId="015077FC" wp14:editId="0717BCBE">
          <wp:simplePos x="0" y="0"/>
          <wp:positionH relativeFrom="column">
            <wp:posOffset>4224867</wp:posOffset>
          </wp:positionH>
          <wp:positionV relativeFrom="paragraph">
            <wp:posOffset>-246380</wp:posOffset>
          </wp:positionV>
          <wp:extent cx="2286000" cy="524933"/>
          <wp:effectExtent l="0" t="0" r="0" b="889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4095" cy="524496"/>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en-GB"/>
      </w:rPr>
      <w:drawing>
        <wp:anchor distT="36576" distB="36576" distL="36576" distR="36576" simplePos="0" relativeHeight="251659264" behindDoc="0" locked="0" layoutInCell="1" allowOverlap="1" wp14:anchorId="34B06F5C" wp14:editId="6FACF373">
          <wp:simplePos x="0" y="0"/>
          <wp:positionH relativeFrom="column">
            <wp:posOffset>-321733</wp:posOffset>
          </wp:positionH>
          <wp:positionV relativeFrom="paragraph">
            <wp:posOffset>-246380</wp:posOffset>
          </wp:positionV>
          <wp:extent cx="2269066" cy="616954"/>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2206" cy="617808"/>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404352" w:rsidRDefault="004043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709F"/>
      </v:shape>
    </w:pict>
  </w:numPicBullet>
  <w:abstractNum w:abstractNumId="0">
    <w:nsid w:val="00000014"/>
    <w:multiLevelType w:val="multilevel"/>
    <w:tmpl w:val="894EE88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150ECB"/>
    <w:multiLevelType w:val="hybridMultilevel"/>
    <w:tmpl w:val="6A3C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987D92"/>
    <w:multiLevelType w:val="hybridMultilevel"/>
    <w:tmpl w:val="0EC05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F71113F"/>
    <w:multiLevelType w:val="hybridMultilevel"/>
    <w:tmpl w:val="CDE2D58A"/>
    <w:lvl w:ilvl="0" w:tplc="08090001">
      <w:start w:val="1"/>
      <w:numFmt w:val="bullet"/>
      <w:lvlText w:val=""/>
      <w:lvlJc w:val="left"/>
      <w:pPr>
        <w:ind w:left="107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FAC67A5"/>
    <w:multiLevelType w:val="hybridMultilevel"/>
    <w:tmpl w:val="CB6C9ED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2043914"/>
    <w:multiLevelType w:val="hybridMultilevel"/>
    <w:tmpl w:val="A426D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2F789B"/>
    <w:multiLevelType w:val="hybridMultilevel"/>
    <w:tmpl w:val="49EA0B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B6171A3"/>
    <w:multiLevelType w:val="hybridMultilevel"/>
    <w:tmpl w:val="B88E978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nsid w:val="36D54C51"/>
    <w:multiLevelType w:val="hybridMultilevel"/>
    <w:tmpl w:val="DB98DA4E"/>
    <w:lvl w:ilvl="0" w:tplc="928449DC">
      <w:numFmt w:val="bullet"/>
      <w:lvlText w:val="-"/>
      <w:lvlJc w:val="left"/>
      <w:pPr>
        <w:ind w:left="1632" w:hanging="360"/>
      </w:pPr>
      <w:rPr>
        <w:rFonts w:ascii="Calibri" w:eastAsiaTheme="minorHAnsi" w:hAnsi="Calibri" w:cstheme="minorBidi" w:hint="default"/>
      </w:rPr>
    </w:lvl>
    <w:lvl w:ilvl="1" w:tplc="08090003" w:tentative="1">
      <w:start w:val="1"/>
      <w:numFmt w:val="bullet"/>
      <w:lvlText w:val="o"/>
      <w:lvlJc w:val="left"/>
      <w:pPr>
        <w:ind w:left="2352" w:hanging="360"/>
      </w:pPr>
      <w:rPr>
        <w:rFonts w:ascii="Courier New" w:hAnsi="Courier New" w:cs="Courier New" w:hint="default"/>
      </w:rPr>
    </w:lvl>
    <w:lvl w:ilvl="2" w:tplc="08090005" w:tentative="1">
      <w:start w:val="1"/>
      <w:numFmt w:val="bullet"/>
      <w:lvlText w:val=""/>
      <w:lvlJc w:val="left"/>
      <w:pPr>
        <w:ind w:left="3072" w:hanging="360"/>
      </w:pPr>
      <w:rPr>
        <w:rFonts w:ascii="Wingdings" w:hAnsi="Wingdings" w:hint="default"/>
      </w:rPr>
    </w:lvl>
    <w:lvl w:ilvl="3" w:tplc="08090001" w:tentative="1">
      <w:start w:val="1"/>
      <w:numFmt w:val="bullet"/>
      <w:lvlText w:val=""/>
      <w:lvlJc w:val="left"/>
      <w:pPr>
        <w:ind w:left="3792" w:hanging="360"/>
      </w:pPr>
      <w:rPr>
        <w:rFonts w:ascii="Symbol" w:hAnsi="Symbol" w:hint="default"/>
      </w:rPr>
    </w:lvl>
    <w:lvl w:ilvl="4" w:tplc="08090003" w:tentative="1">
      <w:start w:val="1"/>
      <w:numFmt w:val="bullet"/>
      <w:lvlText w:val="o"/>
      <w:lvlJc w:val="left"/>
      <w:pPr>
        <w:ind w:left="4512" w:hanging="360"/>
      </w:pPr>
      <w:rPr>
        <w:rFonts w:ascii="Courier New" w:hAnsi="Courier New" w:cs="Courier New" w:hint="default"/>
      </w:rPr>
    </w:lvl>
    <w:lvl w:ilvl="5" w:tplc="08090005" w:tentative="1">
      <w:start w:val="1"/>
      <w:numFmt w:val="bullet"/>
      <w:lvlText w:val=""/>
      <w:lvlJc w:val="left"/>
      <w:pPr>
        <w:ind w:left="5232" w:hanging="360"/>
      </w:pPr>
      <w:rPr>
        <w:rFonts w:ascii="Wingdings" w:hAnsi="Wingdings" w:hint="default"/>
      </w:rPr>
    </w:lvl>
    <w:lvl w:ilvl="6" w:tplc="08090001" w:tentative="1">
      <w:start w:val="1"/>
      <w:numFmt w:val="bullet"/>
      <w:lvlText w:val=""/>
      <w:lvlJc w:val="left"/>
      <w:pPr>
        <w:ind w:left="5952" w:hanging="360"/>
      </w:pPr>
      <w:rPr>
        <w:rFonts w:ascii="Symbol" w:hAnsi="Symbol" w:hint="default"/>
      </w:rPr>
    </w:lvl>
    <w:lvl w:ilvl="7" w:tplc="08090003" w:tentative="1">
      <w:start w:val="1"/>
      <w:numFmt w:val="bullet"/>
      <w:lvlText w:val="o"/>
      <w:lvlJc w:val="left"/>
      <w:pPr>
        <w:ind w:left="6672" w:hanging="360"/>
      </w:pPr>
      <w:rPr>
        <w:rFonts w:ascii="Courier New" w:hAnsi="Courier New" w:cs="Courier New" w:hint="default"/>
      </w:rPr>
    </w:lvl>
    <w:lvl w:ilvl="8" w:tplc="08090005" w:tentative="1">
      <w:start w:val="1"/>
      <w:numFmt w:val="bullet"/>
      <w:lvlText w:val=""/>
      <w:lvlJc w:val="left"/>
      <w:pPr>
        <w:ind w:left="7392" w:hanging="360"/>
      </w:pPr>
      <w:rPr>
        <w:rFonts w:ascii="Wingdings" w:hAnsi="Wingdings" w:hint="default"/>
      </w:rPr>
    </w:lvl>
  </w:abstractNum>
  <w:abstractNum w:abstractNumId="9">
    <w:nsid w:val="3D8F5194"/>
    <w:multiLevelType w:val="hybridMultilevel"/>
    <w:tmpl w:val="AC9A2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E665830"/>
    <w:multiLevelType w:val="hybridMultilevel"/>
    <w:tmpl w:val="C9148F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E7E5223"/>
    <w:multiLevelType w:val="hybridMultilevel"/>
    <w:tmpl w:val="7BB8C92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08E7EDD"/>
    <w:multiLevelType w:val="hybridMultilevel"/>
    <w:tmpl w:val="6DC0CB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8903A75"/>
    <w:multiLevelType w:val="hybridMultilevel"/>
    <w:tmpl w:val="73ECC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D4A7F4B"/>
    <w:multiLevelType w:val="hybridMultilevel"/>
    <w:tmpl w:val="2C088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395B6E"/>
    <w:multiLevelType w:val="hybridMultilevel"/>
    <w:tmpl w:val="91FAA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EFD135B"/>
    <w:multiLevelType w:val="multilevel"/>
    <w:tmpl w:val="5E425D4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7F5A6210"/>
    <w:multiLevelType w:val="hybridMultilevel"/>
    <w:tmpl w:val="820ECC88"/>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4"/>
  </w:num>
  <w:num w:numId="4">
    <w:abstractNumId w:val="10"/>
  </w:num>
  <w:num w:numId="5">
    <w:abstractNumId w:val="2"/>
  </w:num>
  <w:num w:numId="6">
    <w:abstractNumId w:val="3"/>
  </w:num>
  <w:num w:numId="7">
    <w:abstractNumId w:val="5"/>
  </w:num>
  <w:num w:numId="8">
    <w:abstractNumId w:val="1"/>
  </w:num>
  <w:num w:numId="9">
    <w:abstractNumId w:val="12"/>
  </w:num>
  <w:num w:numId="10">
    <w:abstractNumId w:val="15"/>
  </w:num>
  <w:num w:numId="11">
    <w:abstractNumId w:val="8"/>
  </w:num>
  <w:num w:numId="12">
    <w:abstractNumId w:val="6"/>
  </w:num>
  <w:num w:numId="13">
    <w:abstractNumId w:val="4"/>
  </w:num>
  <w:num w:numId="14">
    <w:abstractNumId w:val="0"/>
  </w:num>
  <w:num w:numId="15">
    <w:abstractNumId w:val="7"/>
  </w:num>
  <w:num w:numId="16">
    <w:abstractNumId w:val="9"/>
  </w:num>
  <w:num w:numId="17">
    <w:abstractNumId w:val="17"/>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AC4"/>
    <w:rsid w:val="00001361"/>
    <w:rsid w:val="0000350B"/>
    <w:rsid w:val="00005216"/>
    <w:rsid w:val="00005901"/>
    <w:rsid w:val="0001005D"/>
    <w:rsid w:val="00010B9A"/>
    <w:rsid w:val="000115B2"/>
    <w:rsid w:val="000127BE"/>
    <w:rsid w:val="000143CF"/>
    <w:rsid w:val="0001485A"/>
    <w:rsid w:val="00014AAA"/>
    <w:rsid w:val="00016037"/>
    <w:rsid w:val="0002330A"/>
    <w:rsid w:val="00033439"/>
    <w:rsid w:val="00034227"/>
    <w:rsid w:val="00034525"/>
    <w:rsid w:val="00037E5B"/>
    <w:rsid w:val="00047D73"/>
    <w:rsid w:val="00047EB5"/>
    <w:rsid w:val="00052945"/>
    <w:rsid w:val="00052AF7"/>
    <w:rsid w:val="00052E5B"/>
    <w:rsid w:val="00053242"/>
    <w:rsid w:val="00055AF7"/>
    <w:rsid w:val="00056919"/>
    <w:rsid w:val="000701BE"/>
    <w:rsid w:val="000747DA"/>
    <w:rsid w:val="00081B54"/>
    <w:rsid w:val="00082891"/>
    <w:rsid w:val="00082990"/>
    <w:rsid w:val="0008483D"/>
    <w:rsid w:val="000857A3"/>
    <w:rsid w:val="00085BD7"/>
    <w:rsid w:val="00085BF1"/>
    <w:rsid w:val="000A4299"/>
    <w:rsid w:val="000A59FD"/>
    <w:rsid w:val="000A6189"/>
    <w:rsid w:val="000A637C"/>
    <w:rsid w:val="000B06D6"/>
    <w:rsid w:val="000B0997"/>
    <w:rsid w:val="000B2896"/>
    <w:rsid w:val="000B37A0"/>
    <w:rsid w:val="000B51A6"/>
    <w:rsid w:val="000B537B"/>
    <w:rsid w:val="000B55D7"/>
    <w:rsid w:val="000B5BCE"/>
    <w:rsid w:val="000C11EF"/>
    <w:rsid w:val="000C29BD"/>
    <w:rsid w:val="000C2DA3"/>
    <w:rsid w:val="000C3769"/>
    <w:rsid w:val="000D10DB"/>
    <w:rsid w:val="000D21F8"/>
    <w:rsid w:val="000D2F52"/>
    <w:rsid w:val="000D3651"/>
    <w:rsid w:val="000D4061"/>
    <w:rsid w:val="000D4D6C"/>
    <w:rsid w:val="000E7134"/>
    <w:rsid w:val="000F0359"/>
    <w:rsid w:val="000F191A"/>
    <w:rsid w:val="000F4F75"/>
    <w:rsid w:val="000F5D15"/>
    <w:rsid w:val="000F6261"/>
    <w:rsid w:val="00101410"/>
    <w:rsid w:val="0010222C"/>
    <w:rsid w:val="00102EA9"/>
    <w:rsid w:val="00105013"/>
    <w:rsid w:val="001058D8"/>
    <w:rsid w:val="00113DC2"/>
    <w:rsid w:val="0011598B"/>
    <w:rsid w:val="00117330"/>
    <w:rsid w:val="0012295E"/>
    <w:rsid w:val="001323E8"/>
    <w:rsid w:val="001325F0"/>
    <w:rsid w:val="00135B01"/>
    <w:rsid w:val="00136434"/>
    <w:rsid w:val="00137FEA"/>
    <w:rsid w:val="00141498"/>
    <w:rsid w:val="001423C0"/>
    <w:rsid w:val="00144FED"/>
    <w:rsid w:val="0014725F"/>
    <w:rsid w:val="00147A8E"/>
    <w:rsid w:val="00150812"/>
    <w:rsid w:val="00150E01"/>
    <w:rsid w:val="00154367"/>
    <w:rsid w:val="00155E69"/>
    <w:rsid w:val="00157B8F"/>
    <w:rsid w:val="00160C56"/>
    <w:rsid w:val="001664E6"/>
    <w:rsid w:val="00170321"/>
    <w:rsid w:val="00172BBB"/>
    <w:rsid w:val="001749B7"/>
    <w:rsid w:val="001756D8"/>
    <w:rsid w:val="00175946"/>
    <w:rsid w:val="0017600C"/>
    <w:rsid w:val="00176BCB"/>
    <w:rsid w:val="001858AA"/>
    <w:rsid w:val="00186F7B"/>
    <w:rsid w:val="00191F65"/>
    <w:rsid w:val="00195079"/>
    <w:rsid w:val="00195720"/>
    <w:rsid w:val="001971C0"/>
    <w:rsid w:val="001A0B5B"/>
    <w:rsid w:val="001A2C8F"/>
    <w:rsid w:val="001A5F9F"/>
    <w:rsid w:val="001A6D1E"/>
    <w:rsid w:val="001A6E5E"/>
    <w:rsid w:val="001B0632"/>
    <w:rsid w:val="001B1DB2"/>
    <w:rsid w:val="001B7D10"/>
    <w:rsid w:val="001C2DD0"/>
    <w:rsid w:val="001C6F8C"/>
    <w:rsid w:val="001D13EA"/>
    <w:rsid w:val="001D22FB"/>
    <w:rsid w:val="001D294A"/>
    <w:rsid w:val="001D3D04"/>
    <w:rsid w:val="001D5789"/>
    <w:rsid w:val="001D63DB"/>
    <w:rsid w:val="001D7831"/>
    <w:rsid w:val="001D7AEE"/>
    <w:rsid w:val="001E2B4B"/>
    <w:rsid w:val="001E2C22"/>
    <w:rsid w:val="001E2E7F"/>
    <w:rsid w:val="001E730A"/>
    <w:rsid w:val="001F0E63"/>
    <w:rsid w:val="00200154"/>
    <w:rsid w:val="00200F11"/>
    <w:rsid w:val="00203D27"/>
    <w:rsid w:val="00211B3C"/>
    <w:rsid w:val="0021511A"/>
    <w:rsid w:val="00217AF0"/>
    <w:rsid w:val="00220552"/>
    <w:rsid w:val="0022646B"/>
    <w:rsid w:val="00226C9D"/>
    <w:rsid w:val="00230E47"/>
    <w:rsid w:val="00231366"/>
    <w:rsid w:val="002334E0"/>
    <w:rsid w:val="0023476A"/>
    <w:rsid w:val="00237C07"/>
    <w:rsid w:val="00242DAD"/>
    <w:rsid w:val="00247638"/>
    <w:rsid w:val="002506CF"/>
    <w:rsid w:val="00251164"/>
    <w:rsid w:val="00251458"/>
    <w:rsid w:val="00252F33"/>
    <w:rsid w:val="0025369E"/>
    <w:rsid w:val="00253CF0"/>
    <w:rsid w:val="002555DD"/>
    <w:rsid w:val="00260326"/>
    <w:rsid w:val="002607D2"/>
    <w:rsid w:val="00264B77"/>
    <w:rsid w:val="0027079B"/>
    <w:rsid w:val="002734E6"/>
    <w:rsid w:val="002749CD"/>
    <w:rsid w:val="002756F9"/>
    <w:rsid w:val="0027756B"/>
    <w:rsid w:val="0027787E"/>
    <w:rsid w:val="002813DC"/>
    <w:rsid w:val="00281BF1"/>
    <w:rsid w:val="00284B37"/>
    <w:rsid w:val="00292A15"/>
    <w:rsid w:val="00294692"/>
    <w:rsid w:val="00294878"/>
    <w:rsid w:val="00295A51"/>
    <w:rsid w:val="00297CBA"/>
    <w:rsid w:val="002A0195"/>
    <w:rsid w:val="002A2F3B"/>
    <w:rsid w:val="002A3CA5"/>
    <w:rsid w:val="002A4DD7"/>
    <w:rsid w:val="002A53B0"/>
    <w:rsid w:val="002A572D"/>
    <w:rsid w:val="002A6729"/>
    <w:rsid w:val="002B16F0"/>
    <w:rsid w:val="002B377F"/>
    <w:rsid w:val="002B4171"/>
    <w:rsid w:val="002B4669"/>
    <w:rsid w:val="002B7FAD"/>
    <w:rsid w:val="002C3A76"/>
    <w:rsid w:val="002C3E29"/>
    <w:rsid w:val="002C709B"/>
    <w:rsid w:val="002D2D19"/>
    <w:rsid w:val="002D5279"/>
    <w:rsid w:val="002D67D6"/>
    <w:rsid w:val="002D6DE2"/>
    <w:rsid w:val="002E1FE3"/>
    <w:rsid w:val="002E6EF9"/>
    <w:rsid w:val="002F0902"/>
    <w:rsid w:val="002F25A9"/>
    <w:rsid w:val="002F2F24"/>
    <w:rsid w:val="002F45D3"/>
    <w:rsid w:val="003005D6"/>
    <w:rsid w:val="003010B3"/>
    <w:rsid w:val="00307FD3"/>
    <w:rsid w:val="00311343"/>
    <w:rsid w:val="00312919"/>
    <w:rsid w:val="00313B9E"/>
    <w:rsid w:val="00315CAF"/>
    <w:rsid w:val="00317D21"/>
    <w:rsid w:val="00320473"/>
    <w:rsid w:val="00320C14"/>
    <w:rsid w:val="00321310"/>
    <w:rsid w:val="00322808"/>
    <w:rsid w:val="00323369"/>
    <w:rsid w:val="003247C0"/>
    <w:rsid w:val="00324A08"/>
    <w:rsid w:val="00331742"/>
    <w:rsid w:val="00332446"/>
    <w:rsid w:val="00337AD8"/>
    <w:rsid w:val="003412F6"/>
    <w:rsid w:val="00343415"/>
    <w:rsid w:val="00345263"/>
    <w:rsid w:val="003465BB"/>
    <w:rsid w:val="00347EB2"/>
    <w:rsid w:val="00351525"/>
    <w:rsid w:val="00354E6F"/>
    <w:rsid w:val="00355334"/>
    <w:rsid w:val="003554F0"/>
    <w:rsid w:val="0036579A"/>
    <w:rsid w:val="00367671"/>
    <w:rsid w:val="00367FC4"/>
    <w:rsid w:val="00372603"/>
    <w:rsid w:val="00374257"/>
    <w:rsid w:val="003747B0"/>
    <w:rsid w:val="00377C94"/>
    <w:rsid w:val="00381230"/>
    <w:rsid w:val="00383D3A"/>
    <w:rsid w:val="00391D2D"/>
    <w:rsid w:val="0039363F"/>
    <w:rsid w:val="0039534A"/>
    <w:rsid w:val="003966FF"/>
    <w:rsid w:val="003A02AC"/>
    <w:rsid w:val="003A07FE"/>
    <w:rsid w:val="003A5FBF"/>
    <w:rsid w:val="003A6EAA"/>
    <w:rsid w:val="003A742E"/>
    <w:rsid w:val="003A7D8A"/>
    <w:rsid w:val="003B4270"/>
    <w:rsid w:val="003B6D33"/>
    <w:rsid w:val="003B799E"/>
    <w:rsid w:val="003C4084"/>
    <w:rsid w:val="003C5B21"/>
    <w:rsid w:val="003C746E"/>
    <w:rsid w:val="003D0972"/>
    <w:rsid w:val="003D12FE"/>
    <w:rsid w:val="003D17CE"/>
    <w:rsid w:val="003D1E13"/>
    <w:rsid w:val="003D2689"/>
    <w:rsid w:val="003D5E42"/>
    <w:rsid w:val="003D67C3"/>
    <w:rsid w:val="003E0238"/>
    <w:rsid w:val="003E15ED"/>
    <w:rsid w:val="003E27D2"/>
    <w:rsid w:val="003E2BC8"/>
    <w:rsid w:val="003E3ACE"/>
    <w:rsid w:val="003E477E"/>
    <w:rsid w:val="003E4D2A"/>
    <w:rsid w:val="003E55CE"/>
    <w:rsid w:val="003E6144"/>
    <w:rsid w:val="003E62CC"/>
    <w:rsid w:val="003E6D4B"/>
    <w:rsid w:val="003E700A"/>
    <w:rsid w:val="003F00F8"/>
    <w:rsid w:val="003F06C1"/>
    <w:rsid w:val="003F286D"/>
    <w:rsid w:val="003F3AA4"/>
    <w:rsid w:val="003F6A2F"/>
    <w:rsid w:val="00400031"/>
    <w:rsid w:val="00401C49"/>
    <w:rsid w:val="00404352"/>
    <w:rsid w:val="0041186D"/>
    <w:rsid w:val="00413CC6"/>
    <w:rsid w:val="00413FBC"/>
    <w:rsid w:val="0041428A"/>
    <w:rsid w:val="00420D4B"/>
    <w:rsid w:val="00422341"/>
    <w:rsid w:val="004265D5"/>
    <w:rsid w:val="00431845"/>
    <w:rsid w:val="0043255B"/>
    <w:rsid w:val="004360B0"/>
    <w:rsid w:val="004364F1"/>
    <w:rsid w:val="00436C94"/>
    <w:rsid w:val="00440975"/>
    <w:rsid w:val="00442E45"/>
    <w:rsid w:val="00443931"/>
    <w:rsid w:val="004476A2"/>
    <w:rsid w:val="00447F5E"/>
    <w:rsid w:val="00452660"/>
    <w:rsid w:val="00454EB0"/>
    <w:rsid w:val="00457F24"/>
    <w:rsid w:val="00467597"/>
    <w:rsid w:val="00476389"/>
    <w:rsid w:val="004821B9"/>
    <w:rsid w:val="00482949"/>
    <w:rsid w:val="004840F7"/>
    <w:rsid w:val="00484FF3"/>
    <w:rsid w:val="00487169"/>
    <w:rsid w:val="004A40EC"/>
    <w:rsid w:val="004A43A8"/>
    <w:rsid w:val="004A49AB"/>
    <w:rsid w:val="004A5F9B"/>
    <w:rsid w:val="004A6440"/>
    <w:rsid w:val="004A6D06"/>
    <w:rsid w:val="004B0D0F"/>
    <w:rsid w:val="004B1DB7"/>
    <w:rsid w:val="004B5E3A"/>
    <w:rsid w:val="004B6107"/>
    <w:rsid w:val="004C0898"/>
    <w:rsid w:val="004C169B"/>
    <w:rsid w:val="004C3386"/>
    <w:rsid w:val="004C385C"/>
    <w:rsid w:val="004C4914"/>
    <w:rsid w:val="004C5BF0"/>
    <w:rsid w:val="004C5CDC"/>
    <w:rsid w:val="004C5D97"/>
    <w:rsid w:val="004D176E"/>
    <w:rsid w:val="004D2F75"/>
    <w:rsid w:val="004D7FFB"/>
    <w:rsid w:val="004E093A"/>
    <w:rsid w:val="004E69B2"/>
    <w:rsid w:val="004F6863"/>
    <w:rsid w:val="004F74D4"/>
    <w:rsid w:val="00500B26"/>
    <w:rsid w:val="00502147"/>
    <w:rsid w:val="00502785"/>
    <w:rsid w:val="0050302F"/>
    <w:rsid w:val="00504FEA"/>
    <w:rsid w:val="00506FB8"/>
    <w:rsid w:val="00511EE9"/>
    <w:rsid w:val="00513979"/>
    <w:rsid w:val="005159CA"/>
    <w:rsid w:val="00516847"/>
    <w:rsid w:val="0052462D"/>
    <w:rsid w:val="00526A16"/>
    <w:rsid w:val="00527AF6"/>
    <w:rsid w:val="005360F4"/>
    <w:rsid w:val="005374DB"/>
    <w:rsid w:val="00537EBA"/>
    <w:rsid w:val="005458F3"/>
    <w:rsid w:val="00551167"/>
    <w:rsid w:val="00551A8F"/>
    <w:rsid w:val="00552D2E"/>
    <w:rsid w:val="00563953"/>
    <w:rsid w:val="005643DF"/>
    <w:rsid w:val="00564A73"/>
    <w:rsid w:val="00564D1B"/>
    <w:rsid w:val="0056523F"/>
    <w:rsid w:val="00565BD8"/>
    <w:rsid w:val="00565FD7"/>
    <w:rsid w:val="00572A9D"/>
    <w:rsid w:val="00573BFE"/>
    <w:rsid w:val="00575323"/>
    <w:rsid w:val="0058390E"/>
    <w:rsid w:val="0058394F"/>
    <w:rsid w:val="005875F0"/>
    <w:rsid w:val="00593AE2"/>
    <w:rsid w:val="00597364"/>
    <w:rsid w:val="005A0EC0"/>
    <w:rsid w:val="005A1169"/>
    <w:rsid w:val="005A2D30"/>
    <w:rsid w:val="005A4EE1"/>
    <w:rsid w:val="005A5E13"/>
    <w:rsid w:val="005A720C"/>
    <w:rsid w:val="005A7D8A"/>
    <w:rsid w:val="005B02E7"/>
    <w:rsid w:val="005B21A4"/>
    <w:rsid w:val="005B3D48"/>
    <w:rsid w:val="005B7CF1"/>
    <w:rsid w:val="005C1FBC"/>
    <w:rsid w:val="005C2F70"/>
    <w:rsid w:val="005C3398"/>
    <w:rsid w:val="005C4D8F"/>
    <w:rsid w:val="005D0578"/>
    <w:rsid w:val="005D0AC4"/>
    <w:rsid w:val="005D172F"/>
    <w:rsid w:val="005E25CC"/>
    <w:rsid w:val="005E38C9"/>
    <w:rsid w:val="005E728E"/>
    <w:rsid w:val="005F3502"/>
    <w:rsid w:val="005F359E"/>
    <w:rsid w:val="005F40EF"/>
    <w:rsid w:val="005F5978"/>
    <w:rsid w:val="00607018"/>
    <w:rsid w:val="00607033"/>
    <w:rsid w:val="0060796A"/>
    <w:rsid w:val="006100C8"/>
    <w:rsid w:val="00610DB6"/>
    <w:rsid w:val="00611210"/>
    <w:rsid w:val="00612AFB"/>
    <w:rsid w:val="00614532"/>
    <w:rsid w:val="006154D8"/>
    <w:rsid w:val="00616C17"/>
    <w:rsid w:val="00616CB7"/>
    <w:rsid w:val="00622047"/>
    <w:rsid w:val="00623BF9"/>
    <w:rsid w:val="00623E48"/>
    <w:rsid w:val="0062618F"/>
    <w:rsid w:val="0062692D"/>
    <w:rsid w:val="006269E5"/>
    <w:rsid w:val="00633F3F"/>
    <w:rsid w:val="00634FCD"/>
    <w:rsid w:val="00637558"/>
    <w:rsid w:val="00640B27"/>
    <w:rsid w:val="00640D17"/>
    <w:rsid w:val="00642290"/>
    <w:rsid w:val="0064314F"/>
    <w:rsid w:val="00644514"/>
    <w:rsid w:val="00647751"/>
    <w:rsid w:val="00651E66"/>
    <w:rsid w:val="006527AB"/>
    <w:rsid w:val="00653FFF"/>
    <w:rsid w:val="006550DB"/>
    <w:rsid w:val="0066026A"/>
    <w:rsid w:val="00665ABC"/>
    <w:rsid w:val="006664B0"/>
    <w:rsid w:val="0067033E"/>
    <w:rsid w:val="00672065"/>
    <w:rsid w:val="00673AE7"/>
    <w:rsid w:val="00675CD4"/>
    <w:rsid w:val="00676835"/>
    <w:rsid w:val="00680342"/>
    <w:rsid w:val="00680375"/>
    <w:rsid w:val="00682B99"/>
    <w:rsid w:val="0068338F"/>
    <w:rsid w:val="00683727"/>
    <w:rsid w:val="00685458"/>
    <w:rsid w:val="00687481"/>
    <w:rsid w:val="00691821"/>
    <w:rsid w:val="006A143D"/>
    <w:rsid w:val="006A5B6D"/>
    <w:rsid w:val="006A7B12"/>
    <w:rsid w:val="006B1E9A"/>
    <w:rsid w:val="006B6D98"/>
    <w:rsid w:val="006C1C25"/>
    <w:rsid w:val="006C3CF5"/>
    <w:rsid w:val="006C4806"/>
    <w:rsid w:val="006C515D"/>
    <w:rsid w:val="006C5911"/>
    <w:rsid w:val="006C64C2"/>
    <w:rsid w:val="006D15D8"/>
    <w:rsid w:val="006D287A"/>
    <w:rsid w:val="006D4B4A"/>
    <w:rsid w:val="006D6DD6"/>
    <w:rsid w:val="006E025B"/>
    <w:rsid w:val="006E0C23"/>
    <w:rsid w:val="006E2B33"/>
    <w:rsid w:val="006F1E39"/>
    <w:rsid w:val="006F1F6C"/>
    <w:rsid w:val="006F44B0"/>
    <w:rsid w:val="00702C7A"/>
    <w:rsid w:val="00703A78"/>
    <w:rsid w:val="0070445C"/>
    <w:rsid w:val="007053BC"/>
    <w:rsid w:val="00705BCB"/>
    <w:rsid w:val="00710AAE"/>
    <w:rsid w:val="0071285B"/>
    <w:rsid w:val="00715B43"/>
    <w:rsid w:val="0071673E"/>
    <w:rsid w:val="0071769A"/>
    <w:rsid w:val="007223AB"/>
    <w:rsid w:val="0072273F"/>
    <w:rsid w:val="00723406"/>
    <w:rsid w:val="0072469E"/>
    <w:rsid w:val="00727FD5"/>
    <w:rsid w:val="0073022B"/>
    <w:rsid w:val="00733601"/>
    <w:rsid w:val="0073546B"/>
    <w:rsid w:val="00736F2E"/>
    <w:rsid w:val="00737879"/>
    <w:rsid w:val="00742A35"/>
    <w:rsid w:val="007438F9"/>
    <w:rsid w:val="00743FBF"/>
    <w:rsid w:val="00745C0A"/>
    <w:rsid w:val="0074644A"/>
    <w:rsid w:val="0074703C"/>
    <w:rsid w:val="00752F95"/>
    <w:rsid w:val="00753DF9"/>
    <w:rsid w:val="00753F6C"/>
    <w:rsid w:val="00755370"/>
    <w:rsid w:val="00757107"/>
    <w:rsid w:val="00761E8F"/>
    <w:rsid w:val="00762DC7"/>
    <w:rsid w:val="00764313"/>
    <w:rsid w:val="00764671"/>
    <w:rsid w:val="00765891"/>
    <w:rsid w:val="007662C0"/>
    <w:rsid w:val="007816F0"/>
    <w:rsid w:val="00783478"/>
    <w:rsid w:val="00783AA1"/>
    <w:rsid w:val="007856C5"/>
    <w:rsid w:val="00785F38"/>
    <w:rsid w:val="00786094"/>
    <w:rsid w:val="0078727F"/>
    <w:rsid w:val="00795020"/>
    <w:rsid w:val="00796AB0"/>
    <w:rsid w:val="00797EAB"/>
    <w:rsid w:val="007A0B34"/>
    <w:rsid w:val="007A1F28"/>
    <w:rsid w:val="007A6302"/>
    <w:rsid w:val="007B5511"/>
    <w:rsid w:val="007B61EA"/>
    <w:rsid w:val="007C4CB4"/>
    <w:rsid w:val="007C750C"/>
    <w:rsid w:val="007C7517"/>
    <w:rsid w:val="007D08EB"/>
    <w:rsid w:val="007D0EA3"/>
    <w:rsid w:val="007D1753"/>
    <w:rsid w:val="007D32C5"/>
    <w:rsid w:val="007D6156"/>
    <w:rsid w:val="007D745C"/>
    <w:rsid w:val="007E3D1B"/>
    <w:rsid w:val="007E45AB"/>
    <w:rsid w:val="007E4D23"/>
    <w:rsid w:val="007E5344"/>
    <w:rsid w:val="007F1617"/>
    <w:rsid w:val="007F3E75"/>
    <w:rsid w:val="00801067"/>
    <w:rsid w:val="008101EF"/>
    <w:rsid w:val="00811945"/>
    <w:rsid w:val="008127A4"/>
    <w:rsid w:val="00812EAB"/>
    <w:rsid w:val="00813D8D"/>
    <w:rsid w:val="00813E3E"/>
    <w:rsid w:val="00815F9B"/>
    <w:rsid w:val="00816A8B"/>
    <w:rsid w:val="00821BDC"/>
    <w:rsid w:val="008220E7"/>
    <w:rsid w:val="00823617"/>
    <w:rsid w:val="008250A3"/>
    <w:rsid w:val="0083790B"/>
    <w:rsid w:val="00844A57"/>
    <w:rsid w:val="00850EC3"/>
    <w:rsid w:val="0085744B"/>
    <w:rsid w:val="0086260F"/>
    <w:rsid w:val="008629AA"/>
    <w:rsid w:val="008647C1"/>
    <w:rsid w:val="008665CC"/>
    <w:rsid w:val="008671A0"/>
    <w:rsid w:val="00867AD6"/>
    <w:rsid w:val="0087046F"/>
    <w:rsid w:val="00873488"/>
    <w:rsid w:val="0087559D"/>
    <w:rsid w:val="008771F7"/>
    <w:rsid w:val="008806A0"/>
    <w:rsid w:val="00881379"/>
    <w:rsid w:val="00882D8F"/>
    <w:rsid w:val="008857CA"/>
    <w:rsid w:val="008947D3"/>
    <w:rsid w:val="00894B77"/>
    <w:rsid w:val="008A3785"/>
    <w:rsid w:val="008B7163"/>
    <w:rsid w:val="008B7F5D"/>
    <w:rsid w:val="008C0CBA"/>
    <w:rsid w:val="008C7B2D"/>
    <w:rsid w:val="008D22A8"/>
    <w:rsid w:val="008D388E"/>
    <w:rsid w:val="008D6F0D"/>
    <w:rsid w:val="008E103A"/>
    <w:rsid w:val="008E1464"/>
    <w:rsid w:val="008E53F5"/>
    <w:rsid w:val="008E57D0"/>
    <w:rsid w:val="008F0E18"/>
    <w:rsid w:val="008F11D4"/>
    <w:rsid w:val="008F56F3"/>
    <w:rsid w:val="008F5AC1"/>
    <w:rsid w:val="008F5D18"/>
    <w:rsid w:val="008F5F67"/>
    <w:rsid w:val="008F7644"/>
    <w:rsid w:val="0090099D"/>
    <w:rsid w:val="009103B3"/>
    <w:rsid w:val="0091120D"/>
    <w:rsid w:val="009144E6"/>
    <w:rsid w:val="0091579E"/>
    <w:rsid w:val="00915C08"/>
    <w:rsid w:val="009201AF"/>
    <w:rsid w:val="00921229"/>
    <w:rsid w:val="009257A0"/>
    <w:rsid w:val="00930F69"/>
    <w:rsid w:val="009313BC"/>
    <w:rsid w:val="00932612"/>
    <w:rsid w:val="00932F7A"/>
    <w:rsid w:val="00936274"/>
    <w:rsid w:val="0094105D"/>
    <w:rsid w:val="0094199A"/>
    <w:rsid w:val="00942516"/>
    <w:rsid w:val="00946311"/>
    <w:rsid w:val="00950942"/>
    <w:rsid w:val="009537E4"/>
    <w:rsid w:val="00955DA4"/>
    <w:rsid w:val="009579DA"/>
    <w:rsid w:val="00962118"/>
    <w:rsid w:val="00962D8C"/>
    <w:rsid w:val="009644E6"/>
    <w:rsid w:val="009648E8"/>
    <w:rsid w:val="00970E1B"/>
    <w:rsid w:val="00971C57"/>
    <w:rsid w:val="00971E4A"/>
    <w:rsid w:val="00976973"/>
    <w:rsid w:val="009838BB"/>
    <w:rsid w:val="00983CD1"/>
    <w:rsid w:val="0098427A"/>
    <w:rsid w:val="00987529"/>
    <w:rsid w:val="00990864"/>
    <w:rsid w:val="00993408"/>
    <w:rsid w:val="0099448D"/>
    <w:rsid w:val="009960CE"/>
    <w:rsid w:val="009969BC"/>
    <w:rsid w:val="009A1365"/>
    <w:rsid w:val="009A258C"/>
    <w:rsid w:val="009A3C51"/>
    <w:rsid w:val="009A5B77"/>
    <w:rsid w:val="009A6A17"/>
    <w:rsid w:val="009A72FA"/>
    <w:rsid w:val="009A73BC"/>
    <w:rsid w:val="009B200C"/>
    <w:rsid w:val="009B2BE4"/>
    <w:rsid w:val="009B64B1"/>
    <w:rsid w:val="009B6534"/>
    <w:rsid w:val="009C2047"/>
    <w:rsid w:val="009C3477"/>
    <w:rsid w:val="009D1712"/>
    <w:rsid w:val="009D4104"/>
    <w:rsid w:val="009D5F1D"/>
    <w:rsid w:val="009D623F"/>
    <w:rsid w:val="009E1C81"/>
    <w:rsid w:val="009E1E42"/>
    <w:rsid w:val="009E2A55"/>
    <w:rsid w:val="009E71DE"/>
    <w:rsid w:val="009E73BF"/>
    <w:rsid w:val="009E75F2"/>
    <w:rsid w:val="009F4EB8"/>
    <w:rsid w:val="009F6170"/>
    <w:rsid w:val="00A01684"/>
    <w:rsid w:val="00A02964"/>
    <w:rsid w:val="00A03195"/>
    <w:rsid w:val="00A04B47"/>
    <w:rsid w:val="00A04FE9"/>
    <w:rsid w:val="00A05340"/>
    <w:rsid w:val="00A07477"/>
    <w:rsid w:val="00A10199"/>
    <w:rsid w:val="00A11FEF"/>
    <w:rsid w:val="00A121C1"/>
    <w:rsid w:val="00A1312A"/>
    <w:rsid w:val="00A136DE"/>
    <w:rsid w:val="00A146CD"/>
    <w:rsid w:val="00A160E0"/>
    <w:rsid w:val="00A2252B"/>
    <w:rsid w:val="00A22E1A"/>
    <w:rsid w:val="00A255CE"/>
    <w:rsid w:val="00A33836"/>
    <w:rsid w:val="00A34383"/>
    <w:rsid w:val="00A42CE9"/>
    <w:rsid w:val="00A47856"/>
    <w:rsid w:val="00A60007"/>
    <w:rsid w:val="00A623A2"/>
    <w:rsid w:val="00A636A4"/>
    <w:rsid w:val="00A7152C"/>
    <w:rsid w:val="00A823FC"/>
    <w:rsid w:val="00A8381F"/>
    <w:rsid w:val="00A843B0"/>
    <w:rsid w:val="00A86543"/>
    <w:rsid w:val="00A870BE"/>
    <w:rsid w:val="00A92BB4"/>
    <w:rsid w:val="00A92D34"/>
    <w:rsid w:val="00A95724"/>
    <w:rsid w:val="00A961DE"/>
    <w:rsid w:val="00AA067D"/>
    <w:rsid w:val="00AA1CDE"/>
    <w:rsid w:val="00AA33D3"/>
    <w:rsid w:val="00AA3DE7"/>
    <w:rsid w:val="00AA6290"/>
    <w:rsid w:val="00AA7AC5"/>
    <w:rsid w:val="00AB0CE3"/>
    <w:rsid w:val="00AB1A7E"/>
    <w:rsid w:val="00AB633C"/>
    <w:rsid w:val="00AC2246"/>
    <w:rsid w:val="00AC29D8"/>
    <w:rsid w:val="00AC5138"/>
    <w:rsid w:val="00AD23F8"/>
    <w:rsid w:val="00AD5941"/>
    <w:rsid w:val="00AE3EE4"/>
    <w:rsid w:val="00AE49D9"/>
    <w:rsid w:val="00AF3388"/>
    <w:rsid w:val="00AF56EE"/>
    <w:rsid w:val="00AF6850"/>
    <w:rsid w:val="00AF790C"/>
    <w:rsid w:val="00B013F3"/>
    <w:rsid w:val="00B01952"/>
    <w:rsid w:val="00B019B4"/>
    <w:rsid w:val="00B01C96"/>
    <w:rsid w:val="00B03326"/>
    <w:rsid w:val="00B039FB"/>
    <w:rsid w:val="00B1022F"/>
    <w:rsid w:val="00B116A5"/>
    <w:rsid w:val="00B11A86"/>
    <w:rsid w:val="00B127F0"/>
    <w:rsid w:val="00B13565"/>
    <w:rsid w:val="00B1479C"/>
    <w:rsid w:val="00B1778C"/>
    <w:rsid w:val="00B24B24"/>
    <w:rsid w:val="00B275F8"/>
    <w:rsid w:val="00B32F67"/>
    <w:rsid w:val="00B33DE7"/>
    <w:rsid w:val="00B3742F"/>
    <w:rsid w:val="00B40E13"/>
    <w:rsid w:val="00B433C5"/>
    <w:rsid w:val="00B43C65"/>
    <w:rsid w:val="00B4475C"/>
    <w:rsid w:val="00B44F85"/>
    <w:rsid w:val="00B4742E"/>
    <w:rsid w:val="00B5141E"/>
    <w:rsid w:val="00B54A97"/>
    <w:rsid w:val="00B5510B"/>
    <w:rsid w:val="00B56C01"/>
    <w:rsid w:val="00B56FB0"/>
    <w:rsid w:val="00B60498"/>
    <w:rsid w:val="00B61453"/>
    <w:rsid w:val="00B617A6"/>
    <w:rsid w:val="00B6444A"/>
    <w:rsid w:val="00B677EE"/>
    <w:rsid w:val="00B74211"/>
    <w:rsid w:val="00B74A15"/>
    <w:rsid w:val="00B750A4"/>
    <w:rsid w:val="00B7771C"/>
    <w:rsid w:val="00B830C2"/>
    <w:rsid w:val="00B8442D"/>
    <w:rsid w:val="00B86C2B"/>
    <w:rsid w:val="00B86E78"/>
    <w:rsid w:val="00B9040C"/>
    <w:rsid w:val="00B9274B"/>
    <w:rsid w:val="00B92C40"/>
    <w:rsid w:val="00B94584"/>
    <w:rsid w:val="00B95DFD"/>
    <w:rsid w:val="00B96A38"/>
    <w:rsid w:val="00BA6BB7"/>
    <w:rsid w:val="00BC08FE"/>
    <w:rsid w:val="00BC24A5"/>
    <w:rsid w:val="00BC2904"/>
    <w:rsid w:val="00BC41C8"/>
    <w:rsid w:val="00BC494C"/>
    <w:rsid w:val="00BC6B01"/>
    <w:rsid w:val="00BD245B"/>
    <w:rsid w:val="00BD2B7B"/>
    <w:rsid w:val="00BD2F77"/>
    <w:rsid w:val="00BD357D"/>
    <w:rsid w:val="00BD7026"/>
    <w:rsid w:val="00BD7FF3"/>
    <w:rsid w:val="00BE0702"/>
    <w:rsid w:val="00BE5C86"/>
    <w:rsid w:val="00BE7456"/>
    <w:rsid w:val="00BF0981"/>
    <w:rsid w:val="00BF0AD0"/>
    <w:rsid w:val="00BF2789"/>
    <w:rsid w:val="00BF5A4A"/>
    <w:rsid w:val="00BF7DC8"/>
    <w:rsid w:val="00C00236"/>
    <w:rsid w:val="00C029DA"/>
    <w:rsid w:val="00C04D73"/>
    <w:rsid w:val="00C109C0"/>
    <w:rsid w:val="00C10B7E"/>
    <w:rsid w:val="00C12922"/>
    <w:rsid w:val="00C1476A"/>
    <w:rsid w:val="00C151D6"/>
    <w:rsid w:val="00C21720"/>
    <w:rsid w:val="00C22CB0"/>
    <w:rsid w:val="00C23474"/>
    <w:rsid w:val="00C25126"/>
    <w:rsid w:val="00C25204"/>
    <w:rsid w:val="00C30D22"/>
    <w:rsid w:val="00C31658"/>
    <w:rsid w:val="00C3349A"/>
    <w:rsid w:val="00C3519B"/>
    <w:rsid w:val="00C400DC"/>
    <w:rsid w:val="00C4687D"/>
    <w:rsid w:val="00C508C9"/>
    <w:rsid w:val="00C51CC8"/>
    <w:rsid w:val="00C546BA"/>
    <w:rsid w:val="00C55652"/>
    <w:rsid w:val="00C572E5"/>
    <w:rsid w:val="00C63F26"/>
    <w:rsid w:val="00C64E23"/>
    <w:rsid w:val="00C760D2"/>
    <w:rsid w:val="00C777CF"/>
    <w:rsid w:val="00C80A62"/>
    <w:rsid w:val="00C86D9C"/>
    <w:rsid w:val="00C91877"/>
    <w:rsid w:val="00C91DFF"/>
    <w:rsid w:val="00C91E73"/>
    <w:rsid w:val="00C948FA"/>
    <w:rsid w:val="00C950BF"/>
    <w:rsid w:val="00C96979"/>
    <w:rsid w:val="00C97105"/>
    <w:rsid w:val="00CA35B8"/>
    <w:rsid w:val="00CA4AFD"/>
    <w:rsid w:val="00CA77D8"/>
    <w:rsid w:val="00CB1830"/>
    <w:rsid w:val="00CB24F7"/>
    <w:rsid w:val="00CB2F49"/>
    <w:rsid w:val="00CB4102"/>
    <w:rsid w:val="00CB4F8A"/>
    <w:rsid w:val="00CC4E0D"/>
    <w:rsid w:val="00CC5474"/>
    <w:rsid w:val="00CC5A30"/>
    <w:rsid w:val="00CC5B13"/>
    <w:rsid w:val="00CC69AA"/>
    <w:rsid w:val="00CC6E6A"/>
    <w:rsid w:val="00CD05E0"/>
    <w:rsid w:val="00CD0B2D"/>
    <w:rsid w:val="00CD2203"/>
    <w:rsid w:val="00CD2437"/>
    <w:rsid w:val="00CD2EB7"/>
    <w:rsid w:val="00CD72F3"/>
    <w:rsid w:val="00CE05D7"/>
    <w:rsid w:val="00CE08A7"/>
    <w:rsid w:val="00CE0BD8"/>
    <w:rsid w:val="00CE4C08"/>
    <w:rsid w:val="00CE6422"/>
    <w:rsid w:val="00CF1CE9"/>
    <w:rsid w:val="00CF67B4"/>
    <w:rsid w:val="00CF6EBF"/>
    <w:rsid w:val="00D027A3"/>
    <w:rsid w:val="00D04ACD"/>
    <w:rsid w:val="00D071E0"/>
    <w:rsid w:val="00D076B8"/>
    <w:rsid w:val="00D12386"/>
    <w:rsid w:val="00D142BD"/>
    <w:rsid w:val="00D17C1F"/>
    <w:rsid w:val="00D263E2"/>
    <w:rsid w:val="00D27DB9"/>
    <w:rsid w:val="00D31DB5"/>
    <w:rsid w:val="00D41BB8"/>
    <w:rsid w:val="00D4288F"/>
    <w:rsid w:val="00D466E3"/>
    <w:rsid w:val="00D502B0"/>
    <w:rsid w:val="00D506BB"/>
    <w:rsid w:val="00D539CF"/>
    <w:rsid w:val="00D5483F"/>
    <w:rsid w:val="00D60C17"/>
    <w:rsid w:val="00D65223"/>
    <w:rsid w:val="00D675DD"/>
    <w:rsid w:val="00D73175"/>
    <w:rsid w:val="00D75496"/>
    <w:rsid w:val="00D77779"/>
    <w:rsid w:val="00D80BEF"/>
    <w:rsid w:val="00D8686C"/>
    <w:rsid w:val="00D86A59"/>
    <w:rsid w:val="00D90C87"/>
    <w:rsid w:val="00D9159B"/>
    <w:rsid w:val="00D93209"/>
    <w:rsid w:val="00D975B7"/>
    <w:rsid w:val="00DA2301"/>
    <w:rsid w:val="00DA2370"/>
    <w:rsid w:val="00DA4BDA"/>
    <w:rsid w:val="00DA6B9A"/>
    <w:rsid w:val="00DA6C95"/>
    <w:rsid w:val="00DA7538"/>
    <w:rsid w:val="00DB3577"/>
    <w:rsid w:val="00DB4B02"/>
    <w:rsid w:val="00DB7EAD"/>
    <w:rsid w:val="00DC115D"/>
    <w:rsid w:val="00DC1429"/>
    <w:rsid w:val="00DC25E1"/>
    <w:rsid w:val="00DC3537"/>
    <w:rsid w:val="00DC39AE"/>
    <w:rsid w:val="00DC5C1C"/>
    <w:rsid w:val="00DC79A2"/>
    <w:rsid w:val="00DD0F9A"/>
    <w:rsid w:val="00DD12E3"/>
    <w:rsid w:val="00DD32CA"/>
    <w:rsid w:val="00DD43A0"/>
    <w:rsid w:val="00DD65E5"/>
    <w:rsid w:val="00DD751B"/>
    <w:rsid w:val="00DE1B9E"/>
    <w:rsid w:val="00DE380C"/>
    <w:rsid w:val="00DE388D"/>
    <w:rsid w:val="00DE3898"/>
    <w:rsid w:val="00DE4E24"/>
    <w:rsid w:val="00DE6BCC"/>
    <w:rsid w:val="00DF0A61"/>
    <w:rsid w:val="00DF0A63"/>
    <w:rsid w:val="00DF0B88"/>
    <w:rsid w:val="00DF2B51"/>
    <w:rsid w:val="00DF3093"/>
    <w:rsid w:val="00DF3CCE"/>
    <w:rsid w:val="00DF4508"/>
    <w:rsid w:val="00DF78EC"/>
    <w:rsid w:val="00E035A3"/>
    <w:rsid w:val="00E0457B"/>
    <w:rsid w:val="00E0503B"/>
    <w:rsid w:val="00E05C49"/>
    <w:rsid w:val="00E1062E"/>
    <w:rsid w:val="00E10794"/>
    <w:rsid w:val="00E10EF6"/>
    <w:rsid w:val="00E14D38"/>
    <w:rsid w:val="00E151AA"/>
    <w:rsid w:val="00E155C1"/>
    <w:rsid w:val="00E20CFD"/>
    <w:rsid w:val="00E219DE"/>
    <w:rsid w:val="00E23461"/>
    <w:rsid w:val="00E2695B"/>
    <w:rsid w:val="00E32F89"/>
    <w:rsid w:val="00E40020"/>
    <w:rsid w:val="00E43758"/>
    <w:rsid w:val="00E444AE"/>
    <w:rsid w:val="00E47AE6"/>
    <w:rsid w:val="00E47E2B"/>
    <w:rsid w:val="00E51BE2"/>
    <w:rsid w:val="00E52887"/>
    <w:rsid w:val="00E55343"/>
    <w:rsid w:val="00E608C0"/>
    <w:rsid w:val="00E630FE"/>
    <w:rsid w:val="00E646DF"/>
    <w:rsid w:val="00E65F84"/>
    <w:rsid w:val="00E66D75"/>
    <w:rsid w:val="00E66E97"/>
    <w:rsid w:val="00E708A8"/>
    <w:rsid w:val="00E71959"/>
    <w:rsid w:val="00E71CB1"/>
    <w:rsid w:val="00E73654"/>
    <w:rsid w:val="00E74172"/>
    <w:rsid w:val="00E74708"/>
    <w:rsid w:val="00E770F3"/>
    <w:rsid w:val="00E93193"/>
    <w:rsid w:val="00E93793"/>
    <w:rsid w:val="00E95A4B"/>
    <w:rsid w:val="00EA007D"/>
    <w:rsid w:val="00EA036B"/>
    <w:rsid w:val="00EA04BD"/>
    <w:rsid w:val="00EA06E0"/>
    <w:rsid w:val="00EA1EB5"/>
    <w:rsid w:val="00EA30FC"/>
    <w:rsid w:val="00EA37CE"/>
    <w:rsid w:val="00EA456B"/>
    <w:rsid w:val="00EA5A03"/>
    <w:rsid w:val="00EA674E"/>
    <w:rsid w:val="00EA7747"/>
    <w:rsid w:val="00EB4F92"/>
    <w:rsid w:val="00EC0F14"/>
    <w:rsid w:val="00EC1FBE"/>
    <w:rsid w:val="00EC45FF"/>
    <w:rsid w:val="00EC46C4"/>
    <w:rsid w:val="00EC5717"/>
    <w:rsid w:val="00EC5A35"/>
    <w:rsid w:val="00EC6D1C"/>
    <w:rsid w:val="00ED1791"/>
    <w:rsid w:val="00ED24A3"/>
    <w:rsid w:val="00ED545E"/>
    <w:rsid w:val="00ED673B"/>
    <w:rsid w:val="00EE075F"/>
    <w:rsid w:val="00EE27ED"/>
    <w:rsid w:val="00EE49CA"/>
    <w:rsid w:val="00EE50F5"/>
    <w:rsid w:val="00EE595F"/>
    <w:rsid w:val="00EE5E2F"/>
    <w:rsid w:val="00EE60EF"/>
    <w:rsid w:val="00EE6342"/>
    <w:rsid w:val="00EF0DFA"/>
    <w:rsid w:val="00EF13E8"/>
    <w:rsid w:val="00EF1A12"/>
    <w:rsid w:val="00EF439D"/>
    <w:rsid w:val="00F02C09"/>
    <w:rsid w:val="00F1265C"/>
    <w:rsid w:val="00F148F4"/>
    <w:rsid w:val="00F166A2"/>
    <w:rsid w:val="00F213EF"/>
    <w:rsid w:val="00F22ACA"/>
    <w:rsid w:val="00F23185"/>
    <w:rsid w:val="00F23FF5"/>
    <w:rsid w:val="00F25BB3"/>
    <w:rsid w:val="00F25C2C"/>
    <w:rsid w:val="00F2661F"/>
    <w:rsid w:val="00F272E3"/>
    <w:rsid w:val="00F3039B"/>
    <w:rsid w:val="00F30736"/>
    <w:rsid w:val="00F343A9"/>
    <w:rsid w:val="00F351A5"/>
    <w:rsid w:val="00F36281"/>
    <w:rsid w:val="00F37839"/>
    <w:rsid w:val="00F4194C"/>
    <w:rsid w:val="00F42C42"/>
    <w:rsid w:val="00F47D8A"/>
    <w:rsid w:val="00F517A8"/>
    <w:rsid w:val="00F57060"/>
    <w:rsid w:val="00F57BE6"/>
    <w:rsid w:val="00F600A0"/>
    <w:rsid w:val="00F6220F"/>
    <w:rsid w:val="00F66F21"/>
    <w:rsid w:val="00F66F5C"/>
    <w:rsid w:val="00F70B9F"/>
    <w:rsid w:val="00F71604"/>
    <w:rsid w:val="00F767AF"/>
    <w:rsid w:val="00F811F7"/>
    <w:rsid w:val="00F8631D"/>
    <w:rsid w:val="00F905A0"/>
    <w:rsid w:val="00F91375"/>
    <w:rsid w:val="00F91BA8"/>
    <w:rsid w:val="00F93F0F"/>
    <w:rsid w:val="00F94D0B"/>
    <w:rsid w:val="00FA14BF"/>
    <w:rsid w:val="00FA2D18"/>
    <w:rsid w:val="00FA4B86"/>
    <w:rsid w:val="00FB0E58"/>
    <w:rsid w:val="00FB2C7B"/>
    <w:rsid w:val="00FB4020"/>
    <w:rsid w:val="00FB7888"/>
    <w:rsid w:val="00FC07A2"/>
    <w:rsid w:val="00FC11FE"/>
    <w:rsid w:val="00FC2548"/>
    <w:rsid w:val="00FC33D6"/>
    <w:rsid w:val="00FC36D4"/>
    <w:rsid w:val="00FC4076"/>
    <w:rsid w:val="00FC6AF5"/>
    <w:rsid w:val="00FD05E0"/>
    <w:rsid w:val="00FD0891"/>
    <w:rsid w:val="00FD15D4"/>
    <w:rsid w:val="00FD404C"/>
    <w:rsid w:val="00FD5910"/>
    <w:rsid w:val="00FD726F"/>
    <w:rsid w:val="00FD7F8A"/>
    <w:rsid w:val="00FE1715"/>
    <w:rsid w:val="00FE31A7"/>
    <w:rsid w:val="00FE4029"/>
    <w:rsid w:val="00FE6221"/>
    <w:rsid w:val="00FE6942"/>
    <w:rsid w:val="00FF2E10"/>
    <w:rsid w:val="00FF3A27"/>
    <w:rsid w:val="00FF3D1A"/>
    <w:rsid w:val="00FF4222"/>
    <w:rsid w:val="00FF43C0"/>
    <w:rsid w:val="00FF64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4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5D8"/>
    <w:rPr>
      <w:rFonts w:ascii="Tahoma" w:hAnsi="Tahoma" w:cs="Tahoma"/>
      <w:sz w:val="16"/>
      <w:szCs w:val="16"/>
    </w:rPr>
  </w:style>
  <w:style w:type="character" w:customStyle="1" w:styleId="BalloonTextChar">
    <w:name w:val="Balloon Text Char"/>
    <w:basedOn w:val="DefaultParagraphFont"/>
    <w:link w:val="BalloonText"/>
    <w:uiPriority w:val="99"/>
    <w:semiHidden/>
    <w:rsid w:val="006D15D8"/>
    <w:rPr>
      <w:rFonts w:ascii="Tahoma" w:hAnsi="Tahoma" w:cs="Tahoma"/>
      <w:sz w:val="16"/>
      <w:szCs w:val="16"/>
    </w:rPr>
  </w:style>
  <w:style w:type="paragraph" w:styleId="ListParagraph">
    <w:name w:val="List Paragraph"/>
    <w:basedOn w:val="Normal"/>
    <w:uiPriority w:val="34"/>
    <w:qFormat/>
    <w:rsid w:val="00F23185"/>
    <w:pPr>
      <w:ind w:left="720"/>
    </w:pPr>
    <w:rPr>
      <w:rFonts w:ascii="Calibri" w:hAnsi="Calibri" w:cs="Times New Roman"/>
    </w:rPr>
  </w:style>
  <w:style w:type="table" w:styleId="TableGrid">
    <w:name w:val="Table Grid"/>
    <w:basedOn w:val="TableNormal"/>
    <w:uiPriority w:val="59"/>
    <w:rsid w:val="00FC6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700A"/>
    <w:pPr>
      <w:tabs>
        <w:tab w:val="center" w:pos="4513"/>
        <w:tab w:val="right" w:pos="9026"/>
      </w:tabs>
    </w:pPr>
  </w:style>
  <w:style w:type="character" w:customStyle="1" w:styleId="HeaderChar">
    <w:name w:val="Header Char"/>
    <w:basedOn w:val="DefaultParagraphFont"/>
    <w:link w:val="Header"/>
    <w:uiPriority w:val="99"/>
    <w:rsid w:val="003E700A"/>
  </w:style>
  <w:style w:type="paragraph" w:styleId="Footer">
    <w:name w:val="footer"/>
    <w:basedOn w:val="Normal"/>
    <w:link w:val="FooterChar"/>
    <w:uiPriority w:val="99"/>
    <w:unhideWhenUsed/>
    <w:rsid w:val="003E700A"/>
    <w:pPr>
      <w:tabs>
        <w:tab w:val="center" w:pos="4513"/>
        <w:tab w:val="right" w:pos="9026"/>
      </w:tabs>
    </w:pPr>
  </w:style>
  <w:style w:type="character" w:customStyle="1" w:styleId="FooterChar">
    <w:name w:val="Footer Char"/>
    <w:basedOn w:val="DefaultParagraphFont"/>
    <w:link w:val="Footer"/>
    <w:uiPriority w:val="99"/>
    <w:rsid w:val="003E700A"/>
  </w:style>
  <w:style w:type="table" w:customStyle="1" w:styleId="TableGrid1">
    <w:name w:val="Table Grid1"/>
    <w:basedOn w:val="TableNormal"/>
    <w:next w:val="TableGrid"/>
    <w:uiPriority w:val="59"/>
    <w:rsid w:val="00A25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3AA4"/>
  </w:style>
  <w:style w:type="table" w:customStyle="1" w:styleId="TableGrid2">
    <w:name w:val="Table Grid2"/>
    <w:basedOn w:val="TableNormal"/>
    <w:next w:val="TableGrid"/>
    <w:uiPriority w:val="59"/>
    <w:rsid w:val="003F3AA4"/>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unhideWhenUsed/>
    <w:rsid w:val="003F3A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4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5D8"/>
    <w:rPr>
      <w:rFonts w:ascii="Tahoma" w:hAnsi="Tahoma" w:cs="Tahoma"/>
      <w:sz w:val="16"/>
      <w:szCs w:val="16"/>
    </w:rPr>
  </w:style>
  <w:style w:type="character" w:customStyle="1" w:styleId="BalloonTextChar">
    <w:name w:val="Balloon Text Char"/>
    <w:basedOn w:val="DefaultParagraphFont"/>
    <w:link w:val="BalloonText"/>
    <w:uiPriority w:val="99"/>
    <w:semiHidden/>
    <w:rsid w:val="006D15D8"/>
    <w:rPr>
      <w:rFonts w:ascii="Tahoma" w:hAnsi="Tahoma" w:cs="Tahoma"/>
      <w:sz w:val="16"/>
      <w:szCs w:val="16"/>
    </w:rPr>
  </w:style>
  <w:style w:type="paragraph" w:styleId="ListParagraph">
    <w:name w:val="List Paragraph"/>
    <w:basedOn w:val="Normal"/>
    <w:uiPriority w:val="34"/>
    <w:qFormat/>
    <w:rsid w:val="00F23185"/>
    <w:pPr>
      <w:ind w:left="720"/>
    </w:pPr>
    <w:rPr>
      <w:rFonts w:ascii="Calibri" w:hAnsi="Calibri" w:cs="Times New Roman"/>
    </w:rPr>
  </w:style>
  <w:style w:type="table" w:styleId="TableGrid">
    <w:name w:val="Table Grid"/>
    <w:basedOn w:val="TableNormal"/>
    <w:uiPriority w:val="59"/>
    <w:rsid w:val="00FC6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700A"/>
    <w:pPr>
      <w:tabs>
        <w:tab w:val="center" w:pos="4513"/>
        <w:tab w:val="right" w:pos="9026"/>
      </w:tabs>
    </w:pPr>
  </w:style>
  <w:style w:type="character" w:customStyle="1" w:styleId="HeaderChar">
    <w:name w:val="Header Char"/>
    <w:basedOn w:val="DefaultParagraphFont"/>
    <w:link w:val="Header"/>
    <w:uiPriority w:val="99"/>
    <w:rsid w:val="003E700A"/>
  </w:style>
  <w:style w:type="paragraph" w:styleId="Footer">
    <w:name w:val="footer"/>
    <w:basedOn w:val="Normal"/>
    <w:link w:val="FooterChar"/>
    <w:uiPriority w:val="99"/>
    <w:unhideWhenUsed/>
    <w:rsid w:val="003E700A"/>
    <w:pPr>
      <w:tabs>
        <w:tab w:val="center" w:pos="4513"/>
        <w:tab w:val="right" w:pos="9026"/>
      </w:tabs>
    </w:pPr>
  </w:style>
  <w:style w:type="character" w:customStyle="1" w:styleId="FooterChar">
    <w:name w:val="Footer Char"/>
    <w:basedOn w:val="DefaultParagraphFont"/>
    <w:link w:val="Footer"/>
    <w:uiPriority w:val="99"/>
    <w:rsid w:val="003E700A"/>
  </w:style>
  <w:style w:type="table" w:customStyle="1" w:styleId="TableGrid1">
    <w:name w:val="Table Grid1"/>
    <w:basedOn w:val="TableNormal"/>
    <w:next w:val="TableGrid"/>
    <w:uiPriority w:val="59"/>
    <w:rsid w:val="00A25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3AA4"/>
  </w:style>
  <w:style w:type="table" w:customStyle="1" w:styleId="TableGrid2">
    <w:name w:val="Table Grid2"/>
    <w:basedOn w:val="TableNormal"/>
    <w:next w:val="TableGrid"/>
    <w:uiPriority w:val="59"/>
    <w:rsid w:val="003F3AA4"/>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unhideWhenUsed/>
    <w:rsid w:val="003F3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9588">
      <w:bodyDiv w:val="1"/>
      <w:marLeft w:val="0"/>
      <w:marRight w:val="0"/>
      <w:marTop w:val="0"/>
      <w:marBottom w:val="0"/>
      <w:divBdr>
        <w:top w:val="none" w:sz="0" w:space="0" w:color="auto"/>
        <w:left w:val="none" w:sz="0" w:space="0" w:color="auto"/>
        <w:bottom w:val="none" w:sz="0" w:space="0" w:color="auto"/>
        <w:right w:val="none" w:sz="0" w:space="0" w:color="auto"/>
      </w:divBdr>
    </w:div>
    <w:div w:id="121271730">
      <w:bodyDiv w:val="1"/>
      <w:marLeft w:val="0"/>
      <w:marRight w:val="0"/>
      <w:marTop w:val="0"/>
      <w:marBottom w:val="0"/>
      <w:divBdr>
        <w:top w:val="none" w:sz="0" w:space="0" w:color="auto"/>
        <w:left w:val="none" w:sz="0" w:space="0" w:color="auto"/>
        <w:bottom w:val="none" w:sz="0" w:space="0" w:color="auto"/>
        <w:right w:val="none" w:sz="0" w:space="0" w:color="auto"/>
      </w:divBdr>
    </w:div>
    <w:div w:id="221135144">
      <w:bodyDiv w:val="1"/>
      <w:marLeft w:val="0"/>
      <w:marRight w:val="0"/>
      <w:marTop w:val="0"/>
      <w:marBottom w:val="0"/>
      <w:divBdr>
        <w:top w:val="none" w:sz="0" w:space="0" w:color="auto"/>
        <w:left w:val="none" w:sz="0" w:space="0" w:color="auto"/>
        <w:bottom w:val="none" w:sz="0" w:space="0" w:color="auto"/>
        <w:right w:val="none" w:sz="0" w:space="0" w:color="auto"/>
      </w:divBdr>
    </w:div>
    <w:div w:id="534778138">
      <w:bodyDiv w:val="1"/>
      <w:marLeft w:val="0"/>
      <w:marRight w:val="0"/>
      <w:marTop w:val="0"/>
      <w:marBottom w:val="0"/>
      <w:divBdr>
        <w:top w:val="none" w:sz="0" w:space="0" w:color="auto"/>
        <w:left w:val="none" w:sz="0" w:space="0" w:color="auto"/>
        <w:bottom w:val="none" w:sz="0" w:space="0" w:color="auto"/>
        <w:right w:val="none" w:sz="0" w:space="0" w:color="auto"/>
      </w:divBdr>
    </w:div>
    <w:div w:id="734545999">
      <w:bodyDiv w:val="1"/>
      <w:marLeft w:val="0"/>
      <w:marRight w:val="0"/>
      <w:marTop w:val="0"/>
      <w:marBottom w:val="0"/>
      <w:divBdr>
        <w:top w:val="none" w:sz="0" w:space="0" w:color="auto"/>
        <w:left w:val="none" w:sz="0" w:space="0" w:color="auto"/>
        <w:bottom w:val="none" w:sz="0" w:space="0" w:color="auto"/>
        <w:right w:val="none" w:sz="0" w:space="0" w:color="auto"/>
      </w:divBdr>
    </w:div>
    <w:div w:id="734819114">
      <w:bodyDiv w:val="1"/>
      <w:marLeft w:val="0"/>
      <w:marRight w:val="0"/>
      <w:marTop w:val="0"/>
      <w:marBottom w:val="0"/>
      <w:divBdr>
        <w:top w:val="none" w:sz="0" w:space="0" w:color="auto"/>
        <w:left w:val="none" w:sz="0" w:space="0" w:color="auto"/>
        <w:bottom w:val="none" w:sz="0" w:space="0" w:color="auto"/>
        <w:right w:val="none" w:sz="0" w:space="0" w:color="auto"/>
      </w:divBdr>
    </w:div>
    <w:div w:id="810487172">
      <w:bodyDiv w:val="1"/>
      <w:marLeft w:val="0"/>
      <w:marRight w:val="0"/>
      <w:marTop w:val="0"/>
      <w:marBottom w:val="0"/>
      <w:divBdr>
        <w:top w:val="none" w:sz="0" w:space="0" w:color="auto"/>
        <w:left w:val="none" w:sz="0" w:space="0" w:color="auto"/>
        <w:bottom w:val="none" w:sz="0" w:space="0" w:color="auto"/>
        <w:right w:val="none" w:sz="0" w:space="0" w:color="auto"/>
      </w:divBdr>
    </w:div>
    <w:div w:id="849638502">
      <w:bodyDiv w:val="1"/>
      <w:marLeft w:val="0"/>
      <w:marRight w:val="0"/>
      <w:marTop w:val="0"/>
      <w:marBottom w:val="0"/>
      <w:divBdr>
        <w:top w:val="none" w:sz="0" w:space="0" w:color="auto"/>
        <w:left w:val="none" w:sz="0" w:space="0" w:color="auto"/>
        <w:bottom w:val="none" w:sz="0" w:space="0" w:color="auto"/>
        <w:right w:val="none" w:sz="0" w:space="0" w:color="auto"/>
      </w:divBdr>
    </w:div>
    <w:div w:id="990869372">
      <w:bodyDiv w:val="1"/>
      <w:marLeft w:val="0"/>
      <w:marRight w:val="0"/>
      <w:marTop w:val="0"/>
      <w:marBottom w:val="0"/>
      <w:divBdr>
        <w:top w:val="none" w:sz="0" w:space="0" w:color="auto"/>
        <w:left w:val="none" w:sz="0" w:space="0" w:color="auto"/>
        <w:bottom w:val="none" w:sz="0" w:space="0" w:color="auto"/>
        <w:right w:val="none" w:sz="0" w:space="0" w:color="auto"/>
      </w:divBdr>
    </w:div>
    <w:div w:id="1191795996">
      <w:bodyDiv w:val="1"/>
      <w:marLeft w:val="0"/>
      <w:marRight w:val="0"/>
      <w:marTop w:val="0"/>
      <w:marBottom w:val="0"/>
      <w:divBdr>
        <w:top w:val="none" w:sz="0" w:space="0" w:color="auto"/>
        <w:left w:val="none" w:sz="0" w:space="0" w:color="auto"/>
        <w:bottom w:val="none" w:sz="0" w:space="0" w:color="auto"/>
        <w:right w:val="none" w:sz="0" w:space="0" w:color="auto"/>
      </w:divBdr>
    </w:div>
    <w:div w:id="1451172147">
      <w:bodyDiv w:val="1"/>
      <w:marLeft w:val="0"/>
      <w:marRight w:val="0"/>
      <w:marTop w:val="0"/>
      <w:marBottom w:val="0"/>
      <w:divBdr>
        <w:top w:val="none" w:sz="0" w:space="0" w:color="auto"/>
        <w:left w:val="none" w:sz="0" w:space="0" w:color="auto"/>
        <w:bottom w:val="none" w:sz="0" w:space="0" w:color="auto"/>
        <w:right w:val="none" w:sz="0" w:space="0" w:color="auto"/>
      </w:divBdr>
    </w:div>
    <w:div w:id="1532835431">
      <w:bodyDiv w:val="1"/>
      <w:marLeft w:val="0"/>
      <w:marRight w:val="0"/>
      <w:marTop w:val="0"/>
      <w:marBottom w:val="0"/>
      <w:divBdr>
        <w:top w:val="none" w:sz="0" w:space="0" w:color="auto"/>
        <w:left w:val="none" w:sz="0" w:space="0" w:color="auto"/>
        <w:bottom w:val="none" w:sz="0" w:space="0" w:color="auto"/>
        <w:right w:val="none" w:sz="0" w:space="0" w:color="auto"/>
      </w:divBdr>
    </w:div>
    <w:div w:id="1665431106">
      <w:bodyDiv w:val="1"/>
      <w:marLeft w:val="0"/>
      <w:marRight w:val="0"/>
      <w:marTop w:val="0"/>
      <w:marBottom w:val="0"/>
      <w:divBdr>
        <w:top w:val="none" w:sz="0" w:space="0" w:color="auto"/>
        <w:left w:val="none" w:sz="0" w:space="0" w:color="auto"/>
        <w:bottom w:val="none" w:sz="0" w:space="0" w:color="auto"/>
        <w:right w:val="none" w:sz="0" w:space="0" w:color="auto"/>
      </w:divBdr>
    </w:div>
    <w:div w:id="1722820904">
      <w:bodyDiv w:val="1"/>
      <w:marLeft w:val="0"/>
      <w:marRight w:val="0"/>
      <w:marTop w:val="0"/>
      <w:marBottom w:val="0"/>
      <w:divBdr>
        <w:top w:val="none" w:sz="0" w:space="0" w:color="auto"/>
        <w:left w:val="none" w:sz="0" w:space="0" w:color="auto"/>
        <w:bottom w:val="none" w:sz="0" w:space="0" w:color="auto"/>
        <w:right w:val="none" w:sz="0" w:space="0" w:color="auto"/>
      </w:divBdr>
    </w:div>
    <w:div w:id="182789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xlcsu.nhs.uk\shared\EL%20CCG\ELCCG%20Shared\Cancer\42%20day\ELHT%2042%20adj%20performance.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xlcsu.nhs.uk\shared\EL%20CCG\ELCCG%20Shared\Cancer\Breaches%20&amp;%20Exceptions\EL%20Cancer%20Breaches\EL%20Cancer%20Breaches%20&amp;%20Graphs%202013-14%20&amp;%202014-15%20(2).xlsx"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file:///\\xlcsu.nhs.uk\shared\EL%20CCG\ELCCG%20Shared\Cancer\Breaches%20&amp;%20Exceptions\BwD%20Cancer%20Breaches\BwD%20Cancer%20Breaches%20&amp;%20Graphs%2013-14,%2014-15,%2015-16.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ELHT 62 day standard performance and with 42 day adjustment </a:t>
            </a:r>
            <a:r>
              <a:rPr lang="en-US" sz="1100"/>
              <a:t>(Source ELHT)</a:t>
            </a:r>
          </a:p>
        </c:rich>
      </c:tx>
      <c:layout/>
      <c:overlay val="0"/>
    </c:title>
    <c:autoTitleDeleted val="0"/>
    <c:plotArea>
      <c:layout>
        <c:manualLayout>
          <c:layoutTarget val="inner"/>
          <c:xMode val="edge"/>
          <c:yMode val="edge"/>
          <c:x val="0.14497462817147858"/>
          <c:y val="0.22542817147856517"/>
          <c:w val="0.59842738407699037"/>
          <c:h val="0.52830166229221343"/>
        </c:manualLayout>
      </c:layout>
      <c:lineChart>
        <c:grouping val="standard"/>
        <c:varyColors val="0"/>
        <c:ser>
          <c:idx val="0"/>
          <c:order val="0"/>
          <c:tx>
            <c:strRef>
              <c:f>Sheet1!$B$2</c:f>
              <c:strCache>
                <c:ptCount val="1"/>
                <c:pt idx="0">
                  <c:v>Open Exeter Perf</c:v>
                </c:pt>
              </c:strCache>
            </c:strRef>
          </c:tx>
          <c:marker>
            <c:symbol val="none"/>
          </c:marker>
          <c:cat>
            <c:strRef>
              <c:f>Sheet1!$A$3:$A$14</c:f>
              <c:strCache>
                <c:ptCount val="12"/>
                <c:pt idx="0">
                  <c:v>April</c:v>
                </c:pt>
                <c:pt idx="1">
                  <c:v>May</c:v>
                </c:pt>
                <c:pt idx="2">
                  <c:v>June</c:v>
                </c:pt>
                <c:pt idx="3">
                  <c:v>July</c:v>
                </c:pt>
                <c:pt idx="4">
                  <c:v>August</c:v>
                </c:pt>
                <c:pt idx="5">
                  <c:v>September</c:v>
                </c:pt>
                <c:pt idx="6">
                  <c:v>October</c:v>
                </c:pt>
                <c:pt idx="7">
                  <c:v>November</c:v>
                </c:pt>
                <c:pt idx="8">
                  <c:v>December</c:v>
                </c:pt>
                <c:pt idx="9">
                  <c:v>January</c:v>
                </c:pt>
                <c:pt idx="10">
                  <c:v>February</c:v>
                </c:pt>
                <c:pt idx="11">
                  <c:v>March</c:v>
                </c:pt>
              </c:strCache>
            </c:strRef>
          </c:cat>
          <c:val>
            <c:numRef>
              <c:f>Sheet1!$B$3:$B$14</c:f>
              <c:numCache>
                <c:formatCode>General</c:formatCode>
                <c:ptCount val="12"/>
                <c:pt idx="0">
                  <c:v>87.5</c:v>
                </c:pt>
                <c:pt idx="1">
                  <c:v>89.5</c:v>
                </c:pt>
                <c:pt idx="2">
                  <c:v>85.4</c:v>
                </c:pt>
                <c:pt idx="3">
                  <c:v>85.1</c:v>
                </c:pt>
                <c:pt idx="4">
                  <c:v>86.6</c:v>
                </c:pt>
                <c:pt idx="5">
                  <c:v>85.9</c:v>
                </c:pt>
                <c:pt idx="6">
                  <c:v>93.2</c:v>
                </c:pt>
                <c:pt idx="7">
                  <c:v>93.2</c:v>
                </c:pt>
                <c:pt idx="8">
                  <c:v>91</c:v>
                </c:pt>
                <c:pt idx="9">
                  <c:v>93.7</c:v>
                </c:pt>
                <c:pt idx="10">
                  <c:v>86.6</c:v>
                </c:pt>
                <c:pt idx="11">
                  <c:v>88.4</c:v>
                </c:pt>
              </c:numCache>
            </c:numRef>
          </c:val>
          <c:smooth val="0"/>
        </c:ser>
        <c:ser>
          <c:idx val="1"/>
          <c:order val="1"/>
          <c:tx>
            <c:strRef>
              <c:f>Sheet1!$C$2</c:f>
              <c:strCache>
                <c:ptCount val="1"/>
                <c:pt idx="0">
                  <c:v>Adjusted Performance</c:v>
                </c:pt>
              </c:strCache>
            </c:strRef>
          </c:tx>
          <c:marker>
            <c:symbol val="none"/>
          </c:marker>
          <c:cat>
            <c:strRef>
              <c:f>Sheet1!$A$3:$A$14</c:f>
              <c:strCache>
                <c:ptCount val="12"/>
                <c:pt idx="0">
                  <c:v>April</c:v>
                </c:pt>
                <c:pt idx="1">
                  <c:v>May</c:v>
                </c:pt>
                <c:pt idx="2">
                  <c:v>June</c:v>
                </c:pt>
                <c:pt idx="3">
                  <c:v>July</c:v>
                </c:pt>
                <c:pt idx="4">
                  <c:v>August</c:v>
                </c:pt>
                <c:pt idx="5">
                  <c:v>September</c:v>
                </c:pt>
                <c:pt idx="6">
                  <c:v>October</c:v>
                </c:pt>
                <c:pt idx="7">
                  <c:v>November</c:v>
                </c:pt>
                <c:pt idx="8">
                  <c:v>December</c:v>
                </c:pt>
                <c:pt idx="9">
                  <c:v>January</c:v>
                </c:pt>
                <c:pt idx="10">
                  <c:v>February</c:v>
                </c:pt>
                <c:pt idx="11">
                  <c:v>March</c:v>
                </c:pt>
              </c:strCache>
            </c:strRef>
          </c:cat>
          <c:val>
            <c:numRef>
              <c:f>Sheet1!$C$3:$C$14</c:f>
              <c:numCache>
                <c:formatCode>General</c:formatCode>
                <c:ptCount val="12"/>
                <c:pt idx="0">
                  <c:v>87.5</c:v>
                </c:pt>
                <c:pt idx="1">
                  <c:v>86.5</c:v>
                </c:pt>
                <c:pt idx="2">
                  <c:v>83.7</c:v>
                </c:pt>
                <c:pt idx="3">
                  <c:v>84.3</c:v>
                </c:pt>
                <c:pt idx="4">
                  <c:v>84.6</c:v>
                </c:pt>
                <c:pt idx="5">
                  <c:v>84.9</c:v>
                </c:pt>
                <c:pt idx="6">
                  <c:v>94.3</c:v>
                </c:pt>
                <c:pt idx="7">
                  <c:v>87.3</c:v>
                </c:pt>
                <c:pt idx="8">
                  <c:v>90.1</c:v>
                </c:pt>
                <c:pt idx="9">
                  <c:v>93.1</c:v>
                </c:pt>
                <c:pt idx="10">
                  <c:v>84.3</c:v>
                </c:pt>
                <c:pt idx="11">
                  <c:v>88.4</c:v>
                </c:pt>
              </c:numCache>
            </c:numRef>
          </c:val>
          <c:smooth val="0"/>
        </c:ser>
        <c:ser>
          <c:idx val="2"/>
          <c:order val="2"/>
          <c:tx>
            <c:strRef>
              <c:f>Sheet1!$D$2</c:f>
              <c:strCache>
                <c:ptCount val="1"/>
                <c:pt idx="0">
                  <c:v>Performance Standard</c:v>
                </c:pt>
              </c:strCache>
            </c:strRef>
          </c:tx>
          <c:marker>
            <c:symbol val="none"/>
          </c:marker>
          <c:cat>
            <c:strRef>
              <c:f>Sheet1!$A$3:$A$14</c:f>
              <c:strCache>
                <c:ptCount val="12"/>
                <c:pt idx="0">
                  <c:v>April</c:v>
                </c:pt>
                <c:pt idx="1">
                  <c:v>May</c:v>
                </c:pt>
                <c:pt idx="2">
                  <c:v>June</c:v>
                </c:pt>
                <c:pt idx="3">
                  <c:v>July</c:v>
                </c:pt>
                <c:pt idx="4">
                  <c:v>August</c:v>
                </c:pt>
                <c:pt idx="5">
                  <c:v>September</c:v>
                </c:pt>
                <c:pt idx="6">
                  <c:v>October</c:v>
                </c:pt>
                <c:pt idx="7">
                  <c:v>November</c:v>
                </c:pt>
                <c:pt idx="8">
                  <c:v>December</c:v>
                </c:pt>
                <c:pt idx="9">
                  <c:v>January</c:v>
                </c:pt>
                <c:pt idx="10">
                  <c:v>February</c:v>
                </c:pt>
                <c:pt idx="11">
                  <c:v>March</c:v>
                </c:pt>
              </c:strCache>
            </c:strRef>
          </c:cat>
          <c:val>
            <c:numRef>
              <c:f>Sheet1!$D$3:$D$14</c:f>
              <c:numCache>
                <c:formatCode>General</c:formatCode>
                <c:ptCount val="12"/>
                <c:pt idx="0">
                  <c:v>85</c:v>
                </c:pt>
                <c:pt idx="1">
                  <c:v>85</c:v>
                </c:pt>
                <c:pt idx="2">
                  <c:v>85</c:v>
                </c:pt>
                <c:pt idx="3">
                  <c:v>85</c:v>
                </c:pt>
                <c:pt idx="4">
                  <c:v>85</c:v>
                </c:pt>
                <c:pt idx="5">
                  <c:v>85</c:v>
                </c:pt>
                <c:pt idx="6">
                  <c:v>85</c:v>
                </c:pt>
                <c:pt idx="7">
                  <c:v>85</c:v>
                </c:pt>
                <c:pt idx="8">
                  <c:v>85</c:v>
                </c:pt>
                <c:pt idx="9">
                  <c:v>85</c:v>
                </c:pt>
                <c:pt idx="10">
                  <c:v>85</c:v>
                </c:pt>
                <c:pt idx="11">
                  <c:v>85</c:v>
                </c:pt>
              </c:numCache>
            </c:numRef>
          </c:val>
          <c:smooth val="0"/>
        </c:ser>
        <c:dLbls>
          <c:showLegendKey val="0"/>
          <c:showVal val="0"/>
          <c:showCatName val="0"/>
          <c:showSerName val="0"/>
          <c:showPercent val="0"/>
          <c:showBubbleSize val="0"/>
        </c:dLbls>
        <c:marker val="1"/>
        <c:smooth val="0"/>
        <c:axId val="209427072"/>
        <c:axId val="209605376"/>
      </c:lineChart>
      <c:catAx>
        <c:axId val="209427072"/>
        <c:scaling>
          <c:orientation val="minMax"/>
        </c:scaling>
        <c:delete val="0"/>
        <c:axPos val="b"/>
        <c:majorTickMark val="none"/>
        <c:minorTickMark val="none"/>
        <c:tickLblPos val="nextTo"/>
        <c:crossAx val="209605376"/>
        <c:crosses val="autoZero"/>
        <c:auto val="1"/>
        <c:lblAlgn val="ctr"/>
        <c:lblOffset val="100"/>
        <c:noMultiLvlLbl val="0"/>
      </c:catAx>
      <c:valAx>
        <c:axId val="209605376"/>
        <c:scaling>
          <c:orientation val="minMax"/>
          <c:min val="60"/>
        </c:scaling>
        <c:delete val="0"/>
        <c:axPos val="l"/>
        <c:majorGridlines/>
        <c:title>
          <c:tx>
            <c:rich>
              <a:bodyPr/>
              <a:lstStyle/>
              <a:p>
                <a:pPr>
                  <a:defRPr/>
                </a:pPr>
                <a:r>
                  <a:rPr lang="en-US"/>
                  <a:t>Performance %</a:t>
                </a:r>
              </a:p>
            </c:rich>
          </c:tx>
          <c:layout/>
          <c:overlay val="0"/>
        </c:title>
        <c:numFmt formatCode="#,##0" sourceLinked="0"/>
        <c:majorTickMark val="none"/>
        <c:minorTickMark val="none"/>
        <c:tickLblPos val="nextTo"/>
        <c:crossAx val="209427072"/>
        <c:crosses val="autoZero"/>
        <c:crossBetween val="between"/>
      </c:valAx>
    </c:plotArea>
    <c:legend>
      <c:legendPos val="r"/>
      <c:layout>
        <c:manualLayout>
          <c:xMode val="edge"/>
          <c:yMode val="edge"/>
          <c:x val="0.75635979877515325"/>
          <c:y val="0.23779235928842227"/>
          <c:w val="0.22697353455818023"/>
          <c:h val="0.52429972295129779"/>
        </c:manualLayout>
      </c:layout>
      <c:overlay val="0"/>
      <c:txPr>
        <a:bodyPr/>
        <a:lstStyle/>
        <a:p>
          <a:pPr>
            <a:defRPr sz="800"/>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n-US" sz="1200"/>
              <a:t>EL - 62</a:t>
            </a:r>
            <a:r>
              <a:rPr lang="en-US" sz="1200" baseline="0"/>
              <a:t> Day Standard R</a:t>
            </a:r>
            <a:r>
              <a:rPr lang="en-US" sz="1200"/>
              <a:t>eferrals - 2014/15 &amp; 2015/16</a:t>
            </a:r>
          </a:p>
        </c:rich>
      </c:tx>
      <c:layout/>
      <c:overlay val="0"/>
    </c:title>
    <c:autoTitleDeleted val="0"/>
    <c:plotArea>
      <c:layout>
        <c:manualLayout>
          <c:layoutTarget val="inner"/>
          <c:xMode val="edge"/>
          <c:yMode val="edge"/>
          <c:x val="9.1113023596357146E-2"/>
          <c:y val="0.11336520447927126"/>
          <c:w val="0.62435061848916529"/>
          <c:h val="0.73146588037068239"/>
        </c:manualLayout>
      </c:layout>
      <c:barChart>
        <c:barDir val="col"/>
        <c:grouping val="stacked"/>
        <c:varyColors val="0"/>
        <c:ser>
          <c:idx val="0"/>
          <c:order val="0"/>
          <c:tx>
            <c:strRef>
              <c:f>'62 standard'!$L$5</c:f>
              <c:strCache>
                <c:ptCount val="1"/>
                <c:pt idx="0">
                  <c:v>up to 31 days</c:v>
                </c:pt>
              </c:strCache>
            </c:strRef>
          </c:tx>
          <c:spPr>
            <a:solidFill>
              <a:schemeClr val="accent3"/>
            </a:solidFill>
          </c:spPr>
          <c:invertIfNegative val="0"/>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standard'!$L$28:$L$40</c:f>
              <c:numCache>
                <c:formatCode>General</c:formatCode>
                <c:ptCount val="13"/>
                <c:pt idx="0">
                  <c:v>21</c:v>
                </c:pt>
                <c:pt idx="1">
                  <c:v>21</c:v>
                </c:pt>
                <c:pt idx="2">
                  <c:v>23</c:v>
                </c:pt>
                <c:pt idx="3">
                  <c:v>12</c:v>
                </c:pt>
                <c:pt idx="4">
                  <c:v>22</c:v>
                </c:pt>
                <c:pt idx="5">
                  <c:v>30</c:v>
                </c:pt>
                <c:pt idx="6">
                  <c:v>24</c:v>
                </c:pt>
                <c:pt idx="7">
                  <c:v>15</c:v>
                </c:pt>
                <c:pt idx="8">
                  <c:v>22</c:v>
                </c:pt>
                <c:pt idx="9">
                  <c:v>26</c:v>
                </c:pt>
                <c:pt idx="10">
                  <c:v>19</c:v>
                </c:pt>
                <c:pt idx="11">
                  <c:v>28</c:v>
                </c:pt>
                <c:pt idx="12">
                  <c:v>23</c:v>
                </c:pt>
              </c:numCache>
            </c:numRef>
          </c:val>
        </c:ser>
        <c:ser>
          <c:idx val="1"/>
          <c:order val="1"/>
          <c:tx>
            <c:strRef>
              <c:f>'62 standard'!$M$5</c:f>
              <c:strCache>
                <c:ptCount val="1"/>
                <c:pt idx="0">
                  <c:v>32-48 days</c:v>
                </c:pt>
              </c:strCache>
            </c:strRef>
          </c:tx>
          <c:spPr>
            <a:solidFill>
              <a:schemeClr val="accent4"/>
            </a:solidFill>
          </c:spPr>
          <c:invertIfNegative val="0"/>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standard'!$M$29:$M$41</c:f>
              <c:numCache>
                <c:formatCode>General</c:formatCode>
                <c:ptCount val="13"/>
                <c:pt idx="0">
                  <c:v>20</c:v>
                </c:pt>
                <c:pt idx="1">
                  <c:v>26</c:v>
                </c:pt>
                <c:pt idx="2">
                  <c:v>24</c:v>
                </c:pt>
                <c:pt idx="3">
                  <c:v>31</c:v>
                </c:pt>
                <c:pt idx="4">
                  <c:v>19</c:v>
                </c:pt>
                <c:pt idx="5">
                  <c:v>21</c:v>
                </c:pt>
                <c:pt idx="6">
                  <c:v>19</c:v>
                </c:pt>
                <c:pt idx="7">
                  <c:v>23</c:v>
                </c:pt>
                <c:pt idx="8">
                  <c:v>24</c:v>
                </c:pt>
                <c:pt idx="9">
                  <c:v>28</c:v>
                </c:pt>
                <c:pt idx="10">
                  <c:v>26</c:v>
                </c:pt>
                <c:pt idx="11">
                  <c:v>22</c:v>
                </c:pt>
                <c:pt idx="12">
                  <c:v>17</c:v>
                </c:pt>
              </c:numCache>
            </c:numRef>
          </c:val>
        </c:ser>
        <c:ser>
          <c:idx val="2"/>
          <c:order val="2"/>
          <c:tx>
            <c:strRef>
              <c:f>'62 standard'!$N$5</c:f>
              <c:strCache>
                <c:ptCount val="1"/>
                <c:pt idx="0">
                  <c:v>49-62 days</c:v>
                </c:pt>
              </c:strCache>
            </c:strRef>
          </c:tx>
          <c:spPr>
            <a:solidFill>
              <a:schemeClr val="accent1"/>
            </a:solidFill>
          </c:spPr>
          <c:invertIfNegative val="0"/>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standard'!$N$29:$N$41</c:f>
              <c:numCache>
                <c:formatCode>General</c:formatCode>
                <c:ptCount val="13"/>
                <c:pt idx="0">
                  <c:v>22</c:v>
                </c:pt>
                <c:pt idx="1">
                  <c:v>15</c:v>
                </c:pt>
                <c:pt idx="2">
                  <c:v>18</c:v>
                </c:pt>
                <c:pt idx="3">
                  <c:v>20</c:v>
                </c:pt>
                <c:pt idx="4">
                  <c:v>20</c:v>
                </c:pt>
                <c:pt idx="5">
                  <c:v>22</c:v>
                </c:pt>
                <c:pt idx="6">
                  <c:v>27</c:v>
                </c:pt>
                <c:pt idx="7">
                  <c:v>13</c:v>
                </c:pt>
                <c:pt idx="8">
                  <c:v>14</c:v>
                </c:pt>
                <c:pt idx="9">
                  <c:v>22</c:v>
                </c:pt>
                <c:pt idx="10">
                  <c:v>19</c:v>
                </c:pt>
                <c:pt idx="11">
                  <c:v>28</c:v>
                </c:pt>
                <c:pt idx="12">
                  <c:v>25</c:v>
                </c:pt>
              </c:numCache>
            </c:numRef>
          </c:val>
        </c:ser>
        <c:ser>
          <c:idx val="3"/>
          <c:order val="3"/>
          <c:tx>
            <c:strRef>
              <c:f>'62 standard'!$O$5</c:f>
              <c:strCache>
                <c:ptCount val="1"/>
                <c:pt idx="0">
                  <c:v>63-90 days</c:v>
                </c:pt>
              </c:strCache>
            </c:strRef>
          </c:tx>
          <c:spPr>
            <a:solidFill>
              <a:schemeClr val="accent6"/>
            </a:solidFill>
          </c:spPr>
          <c:invertIfNegative val="0"/>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standard'!$O$29:$O$41</c:f>
              <c:numCache>
                <c:formatCode>General</c:formatCode>
                <c:ptCount val="13"/>
                <c:pt idx="0">
                  <c:v>0</c:v>
                </c:pt>
                <c:pt idx="1">
                  <c:v>8</c:v>
                </c:pt>
                <c:pt idx="2">
                  <c:v>9</c:v>
                </c:pt>
                <c:pt idx="3">
                  <c:v>13</c:v>
                </c:pt>
                <c:pt idx="4">
                  <c:v>8</c:v>
                </c:pt>
                <c:pt idx="5">
                  <c:v>6</c:v>
                </c:pt>
                <c:pt idx="6">
                  <c:v>5</c:v>
                </c:pt>
                <c:pt idx="7">
                  <c:v>3</c:v>
                </c:pt>
                <c:pt idx="8">
                  <c:v>8</c:v>
                </c:pt>
                <c:pt idx="9">
                  <c:v>1</c:v>
                </c:pt>
                <c:pt idx="10">
                  <c:v>2</c:v>
                </c:pt>
                <c:pt idx="11">
                  <c:v>11</c:v>
                </c:pt>
                <c:pt idx="12">
                  <c:v>4</c:v>
                </c:pt>
              </c:numCache>
            </c:numRef>
          </c:val>
        </c:ser>
        <c:ser>
          <c:idx val="4"/>
          <c:order val="4"/>
          <c:tx>
            <c:strRef>
              <c:f>'62 standard'!$P$5</c:f>
              <c:strCache>
                <c:ptCount val="1"/>
                <c:pt idx="0">
                  <c:v>90+ days</c:v>
                </c:pt>
              </c:strCache>
            </c:strRef>
          </c:tx>
          <c:spPr>
            <a:solidFill>
              <a:srgbClr val="FF0000"/>
            </a:solidFill>
          </c:spPr>
          <c:invertIfNegative val="0"/>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standard'!$P$29:$P$41</c:f>
              <c:numCache>
                <c:formatCode>General</c:formatCode>
                <c:ptCount val="13"/>
                <c:pt idx="0">
                  <c:v>8</c:v>
                </c:pt>
                <c:pt idx="1">
                  <c:v>5</c:v>
                </c:pt>
                <c:pt idx="2">
                  <c:v>3</c:v>
                </c:pt>
                <c:pt idx="3">
                  <c:v>2</c:v>
                </c:pt>
                <c:pt idx="4">
                  <c:v>6</c:v>
                </c:pt>
                <c:pt idx="5">
                  <c:v>3</c:v>
                </c:pt>
                <c:pt idx="6">
                  <c:v>4</c:v>
                </c:pt>
                <c:pt idx="7">
                  <c:v>2</c:v>
                </c:pt>
                <c:pt idx="8">
                  <c:v>6</c:v>
                </c:pt>
                <c:pt idx="9">
                  <c:v>4</c:v>
                </c:pt>
                <c:pt idx="10">
                  <c:v>5</c:v>
                </c:pt>
                <c:pt idx="11">
                  <c:v>1</c:v>
                </c:pt>
                <c:pt idx="12">
                  <c:v>1</c:v>
                </c:pt>
              </c:numCache>
            </c:numRef>
          </c:val>
        </c:ser>
        <c:dLbls>
          <c:showLegendKey val="0"/>
          <c:showVal val="0"/>
          <c:showCatName val="0"/>
          <c:showSerName val="0"/>
          <c:showPercent val="0"/>
          <c:showBubbleSize val="0"/>
        </c:dLbls>
        <c:gapWidth val="55"/>
        <c:overlap val="100"/>
        <c:axId val="207628544"/>
        <c:axId val="207638528"/>
      </c:barChart>
      <c:lineChart>
        <c:grouping val="standard"/>
        <c:varyColors val="0"/>
        <c:ser>
          <c:idx val="5"/>
          <c:order val="5"/>
          <c:tx>
            <c:strRef>
              <c:f>'62 standard'!$Q$5</c:f>
              <c:strCache>
                <c:ptCount val="1"/>
                <c:pt idx="0">
                  <c:v>EL %age meeting target</c:v>
                </c:pt>
              </c:strCache>
            </c:strRef>
          </c:tx>
          <c:spPr>
            <a:ln>
              <a:solidFill>
                <a:sysClr val="windowText" lastClr="000000"/>
              </a:solidFill>
            </a:ln>
          </c:spPr>
          <c:marker>
            <c:symbol val="none"/>
          </c:marker>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standard'!$Q$29:$Q$41</c:f>
              <c:numCache>
                <c:formatCode>General</c:formatCode>
                <c:ptCount val="13"/>
                <c:pt idx="0">
                  <c:v>88.7</c:v>
                </c:pt>
                <c:pt idx="1">
                  <c:v>83.1</c:v>
                </c:pt>
                <c:pt idx="2">
                  <c:v>81.8</c:v>
                </c:pt>
                <c:pt idx="3">
                  <c:v>83</c:v>
                </c:pt>
                <c:pt idx="4">
                  <c:v>83.1</c:v>
                </c:pt>
                <c:pt idx="5">
                  <c:v>88.2</c:v>
                </c:pt>
                <c:pt idx="6">
                  <c:v>87.1</c:v>
                </c:pt>
                <c:pt idx="7">
                  <c:v>92.1</c:v>
                </c:pt>
                <c:pt idx="8">
                  <c:v>82.1</c:v>
                </c:pt>
                <c:pt idx="9">
                  <c:v>93.2</c:v>
                </c:pt>
                <c:pt idx="10">
                  <c:v>91.2</c:v>
                </c:pt>
                <c:pt idx="11">
                  <c:v>85.9</c:v>
                </c:pt>
                <c:pt idx="12" formatCode="0.00">
                  <c:v>94</c:v>
                </c:pt>
              </c:numCache>
            </c:numRef>
          </c:val>
          <c:smooth val="0"/>
        </c:ser>
        <c:ser>
          <c:idx val="6"/>
          <c:order val="6"/>
          <c:tx>
            <c:strRef>
              <c:f>'62 standard'!$R$5</c:f>
              <c:strCache>
                <c:ptCount val="1"/>
                <c:pt idx="0">
                  <c:v>National %age meeting target</c:v>
                </c:pt>
              </c:strCache>
            </c:strRef>
          </c:tx>
          <c:spPr>
            <a:ln>
              <a:solidFill>
                <a:srgbClr val="FFC000"/>
              </a:solidFill>
            </a:ln>
          </c:spPr>
          <c:marker>
            <c:symbol val="none"/>
          </c:marker>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standard'!$R$29:$R$41</c:f>
              <c:numCache>
                <c:formatCode>General</c:formatCode>
                <c:ptCount val="13"/>
                <c:pt idx="0">
                  <c:v>83.7</c:v>
                </c:pt>
                <c:pt idx="1">
                  <c:v>82.7</c:v>
                </c:pt>
                <c:pt idx="2">
                  <c:v>80.8</c:v>
                </c:pt>
                <c:pt idx="3">
                  <c:v>81</c:v>
                </c:pt>
                <c:pt idx="4">
                  <c:v>81.5</c:v>
                </c:pt>
                <c:pt idx="5">
                  <c:v>82.3</c:v>
                </c:pt>
                <c:pt idx="6">
                  <c:v>81.2</c:v>
                </c:pt>
                <c:pt idx="7">
                  <c:v>81.5</c:v>
                </c:pt>
                <c:pt idx="8">
                  <c:v>83.1</c:v>
                </c:pt>
                <c:pt idx="9">
                  <c:v>84.8</c:v>
                </c:pt>
                <c:pt idx="10">
                  <c:v>80.7</c:v>
                </c:pt>
                <c:pt idx="11">
                  <c:v>80.599999999999994</c:v>
                </c:pt>
                <c:pt idx="12">
                  <c:v>83.7</c:v>
                </c:pt>
              </c:numCache>
            </c:numRef>
          </c:val>
          <c:smooth val="0"/>
        </c:ser>
        <c:ser>
          <c:idx val="7"/>
          <c:order val="7"/>
          <c:tx>
            <c:strRef>
              <c:f>'62 standard'!$S$5</c:f>
              <c:strCache>
                <c:ptCount val="1"/>
                <c:pt idx="0">
                  <c:v>CWT target 85%</c:v>
                </c:pt>
              </c:strCache>
            </c:strRef>
          </c:tx>
          <c:spPr>
            <a:ln>
              <a:solidFill>
                <a:srgbClr val="F79646">
                  <a:lumMod val="75000"/>
                </a:srgbClr>
              </a:solidFill>
            </a:ln>
          </c:spPr>
          <c:marker>
            <c:symbol val="none"/>
          </c:marker>
          <c:cat>
            <c:strRef>
              <c:f>'62 standard'!$K$29:$K$41</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standard'!$S$29:$S$41</c:f>
              <c:numCache>
                <c:formatCode>General</c:formatCode>
                <c:ptCount val="13"/>
                <c:pt idx="0">
                  <c:v>85</c:v>
                </c:pt>
                <c:pt idx="1">
                  <c:v>85</c:v>
                </c:pt>
                <c:pt idx="2">
                  <c:v>85</c:v>
                </c:pt>
                <c:pt idx="3">
                  <c:v>85</c:v>
                </c:pt>
                <c:pt idx="4">
                  <c:v>85</c:v>
                </c:pt>
                <c:pt idx="5">
                  <c:v>85</c:v>
                </c:pt>
                <c:pt idx="6">
                  <c:v>85</c:v>
                </c:pt>
                <c:pt idx="7">
                  <c:v>85</c:v>
                </c:pt>
                <c:pt idx="8">
                  <c:v>85</c:v>
                </c:pt>
                <c:pt idx="9">
                  <c:v>85</c:v>
                </c:pt>
                <c:pt idx="10">
                  <c:v>85</c:v>
                </c:pt>
                <c:pt idx="11">
                  <c:v>85</c:v>
                </c:pt>
              </c:numCache>
            </c:numRef>
          </c:val>
          <c:smooth val="0"/>
        </c:ser>
        <c:dLbls>
          <c:showLegendKey val="0"/>
          <c:showVal val="0"/>
          <c:showCatName val="0"/>
          <c:showSerName val="0"/>
          <c:showPercent val="0"/>
          <c:showBubbleSize val="0"/>
        </c:dLbls>
        <c:marker val="1"/>
        <c:smooth val="0"/>
        <c:axId val="207646720"/>
        <c:axId val="207640448"/>
      </c:lineChart>
      <c:catAx>
        <c:axId val="207628544"/>
        <c:scaling>
          <c:orientation val="minMax"/>
        </c:scaling>
        <c:delete val="0"/>
        <c:axPos val="b"/>
        <c:numFmt formatCode="General" sourceLinked="1"/>
        <c:majorTickMark val="none"/>
        <c:minorTickMark val="none"/>
        <c:tickLblPos val="nextTo"/>
        <c:crossAx val="207638528"/>
        <c:crosses val="autoZero"/>
        <c:auto val="1"/>
        <c:lblAlgn val="ctr"/>
        <c:lblOffset val="100"/>
        <c:noMultiLvlLbl val="0"/>
      </c:catAx>
      <c:valAx>
        <c:axId val="207638528"/>
        <c:scaling>
          <c:orientation val="minMax"/>
        </c:scaling>
        <c:delete val="0"/>
        <c:axPos val="l"/>
        <c:majorGridlines/>
        <c:title>
          <c:tx>
            <c:rich>
              <a:bodyPr rot="0" vert="wordArtVert"/>
              <a:lstStyle/>
              <a:p>
                <a:pPr>
                  <a:defRPr/>
                </a:pPr>
                <a:r>
                  <a:rPr lang="en-US"/>
                  <a:t>Referrals</a:t>
                </a:r>
              </a:p>
            </c:rich>
          </c:tx>
          <c:layout>
            <c:manualLayout>
              <c:xMode val="edge"/>
              <c:yMode val="edge"/>
              <c:x val="5.0767650640632786E-3"/>
              <c:y val="0.28463905518006305"/>
            </c:manualLayout>
          </c:layout>
          <c:overlay val="0"/>
        </c:title>
        <c:numFmt formatCode="General" sourceLinked="1"/>
        <c:majorTickMark val="none"/>
        <c:minorTickMark val="none"/>
        <c:tickLblPos val="nextTo"/>
        <c:crossAx val="207628544"/>
        <c:crosses val="autoZero"/>
        <c:crossBetween val="between"/>
      </c:valAx>
      <c:valAx>
        <c:axId val="207640448"/>
        <c:scaling>
          <c:orientation val="minMax"/>
          <c:min val="0"/>
        </c:scaling>
        <c:delete val="0"/>
        <c:axPos val="r"/>
        <c:title>
          <c:tx>
            <c:rich>
              <a:bodyPr rot="0" vert="wordArtVert"/>
              <a:lstStyle/>
              <a:p>
                <a:pPr>
                  <a:defRPr/>
                </a:pPr>
                <a:r>
                  <a:rPr lang="en-US"/>
                  <a:t>Percentage</a:t>
                </a:r>
              </a:p>
            </c:rich>
          </c:tx>
          <c:layout>
            <c:manualLayout>
              <c:xMode val="edge"/>
              <c:yMode val="edge"/>
              <c:x val="0.77834324543037336"/>
              <c:y val="0.19473830477072718"/>
            </c:manualLayout>
          </c:layout>
          <c:overlay val="0"/>
        </c:title>
        <c:numFmt formatCode="General" sourceLinked="1"/>
        <c:majorTickMark val="out"/>
        <c:minorTickMark val="none"/>
        <c:tickLblPos val="nextTo"/>
        <c:crossAx val="207646720"/>
        <c:crosses val="max"/>
        <c:crossBetween val="between"/>
      </c:valAx>
      <c:catAx>
        <c:axId val="207646720"/>
        <c:scaling>
          <c:orientation val="minMax"/>
        </c:scaling>
        <c:delete val="1"/>
        <c:axPos val="b"/>
        <c:numFmt formatCode="General" sourceLinked="1"/>
        <c:majorTickMark val="out"/>
        <c:minorTickMark val="none"/>
        <c:tickLblPos val="nextTo"/>
        <c:crossAx val="207640448"/>
        <c:crosses val="autoZero"/>
        <c:auto val="1"/>
        <c:lblAlgn val="ctr"/>
        <c:lblOffset val="100"/>
        <c:noMultiLvlLbl val="0"/>
      </c:catAx>
    </c:plotArea>
    <c:legend>
      <c:legendPos val="r"/>
      <c:layout>
        <c:manualLayout>
          <c:xMode val="edge"/>
          <c:yMode val="edge"/>
          <c:x val="0.83114359481573774"/>
          <c:y val="0.13436343986413463"/>
          <c:w val="0.16885640518426223"/>
          <c:h val="0.6676427358344913"/>
        </c:manualLayout>
      </c:layout>
      <c:overlay val="0"/>
      <c:txPr>
        <a:bodyPr/>
        <a:lstStyle/>
        <a:p>
          <a:pPr>
            <a:defRPr sz="800"/>
          </a:pPr>
          <a:endParaRPr lang="en-US"/>
        </a:p>
      </c:txPr>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en-US" sz="1200"/>
              <a:t>BwD - 62 Day</a:t>
            </a:r>
            <a:r>
              <a:rPr lang="en-US" sz="1200" baseline="0"/>
              <a:t> Standard R</a:t>
            </a:r>
            <a:r>
              <a:rPr lang="en-US" sz="1200"/>
              <a:t>eferrals - 2014/15 &amp; 2015/16</a:t>
            </a:r>
          </a:p>
        </c:rich>
      </c:tx>
      <c:layout/>
      <c:overlay val="0"/>
    </c:title>
    <c:autoTitleDeleted val="0"/>
    <c:plotArea>
      <c:layout>
        <c:manualLayout>
          <c:layoutTarget val="inner"/>
          <c:xMode val="edge"/>
          <c:yMode val="edge"/>
          <c:x val="7.8838560867903931E-2"/>
          <c:y val="9.9264635279663921E-2"/>
          <c:w val="0.67357452411471819"/>
          <c:h val="0.73436198341120651"/>
        </c:manualLayout>
      </c:layout>
      <c:barChart>
        <c:barDir val="col"/>
        <c:grouping val="stacked"/>
        <c:varyColors val="0"/>
        <c:ser>
          <c:idx val="0"/>
          <c:order val="0"/>
          <c:tx>
            <c:strRef>
              <c:f>'62 day '!$L$64</c:f>
              <c:strCache>
                <c:ptCount val="1"/>
                <c:pt idx="0">
                  <c:v>up to 31 days</c:v>
                </c:pt>
              </c:strCache>
            </c:strRef>
          </c:tx>
          <c:spPr>
            <a:solidFill>
              <a:schemeClr val="accent3"/>
            </a:solidFill>
          </c:spPr>
          <c:invertIfNegative val="0"/>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'!$L$88:$L$100</c:f>
              <c:numCache>
                <c:formatCode>General</c:formatCode>
                <c:ptCount val="13"/>
                <c:pt idx="0">
                  <c:v>11</c:v>
                </c:pt>
                <c:pt idx="1">
                  <c:v>9</c:v>
                </c:pt>
                <c:pt idx="2">
                  <c:v>3</c:v>
                </c:pt>
                <c:pt idx="3">
                  <c:v>5</c:v>
                </c:pt>
                <c:pt idx="4">
                  <c:v>12</c:v>
                </c:pt>
                <c:pt idx="5">
                  <c:v>10</c:v>
                </c:pt>
                <c:pt idx="6">
                  <c:v>3</c:v>
                </c:pt>
                <c:pt idx="7">
                  <c:v>11</c:v>
                </c:pt>
                <c:pt idx="8">
                  <c:v>10</c:v>
                </c:pt>
                <c:pt idx="9">
                  <c:v>10</c:v>
                </c:pt>
                <c:pt idx="10">
                  <c:v>9</c:v>
                </c:pt>
                <c:pt idx="11">
                  <c:v>4</c:v>
                </c:pt>
                <c:pt idx="12">
                  <c:v>6</c:v>
                </c:pt>
              </c:numCache>
            </c:numRef>
          </c:val>
        </c:ser>
        <c:ser>
          <c:idx val="1"/>
          <c:order val="1"/>
          <c:tx>
            <c:strRef>
              <c:f>'62 day '!$M$64</c:f>
              <c:strCache>
                <c:ptCount val="1"/>
                <c:pt idx="0">
                  <c:v>32-48 days</c:v>
                </c:pt>
              </c:strCache>
            </c:strRef>
          </c:tx>
          <c:spPr>
            <a:solidFill>
              <a:schemeClr val="accent4"/>
            </a:solidFill>
          </c:spPr>
          <c:invertIfNegative val="0"/>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'!$M$88:$M$100</c:f>
              <c:numCache>
                <c:formatCode>General</c:formatCode>
                <c:ptCount val="13"/>
                <c:pt idx="0">
                  <c:v>11</c:v>
                </c:pt>
                <c:pt idx="1">
                  <c:v>9</c:v>
                </c:pt>
                <c:pt idx="2">
                  <c:v>12</c:v>
                </c:pt>
                <c:pt idx="3">
                  <c:v>15</c:v>
                </c:pt>
                <c:pt idx="4">
                  <c:v>10</c:v>
                </c:pt>
                <c:pt idx="5">
                  <c:v>5</c:v>
                </c:pt>
                <c:pt idx="6">
                  <c:v>8</c:v>
                </c:pt>
                <c:pt idx="7">
                  <c:v>8</c:v>
                </c:pt>
                <c:pt idx="8">
                  <c:v>6</c:v>
                </c:pt>
                <c:pt idx="9">
                  <c:v>9</c:v>
                </c:pt>
                <c:pt idx="10">
                  <c:v>7</c:v>
                </c:pt>
                <c:pt idx="11">
                  <c:v>9</c:v>
                </c:pt>
                <c:pt idx="12">
                  <c:v>6</c:v>
                </c:pt>
              </c:numCache>
            </c:numRef>
          </c:val>
        </c:ser>
        <c:ser>
          <c:idx val="2"/>
          <c:order val="2"/>
          <c:tx>
            <c:strRef>
              <c:f>'62 day '!$N$64</c:f>
              <c:strCache>
                <c:ptCount val="1"/>
                <c:pt idx="0">
                  <c:v>49-62 days</c:v>
                </c:pt>
              </c:strCache>
            </c:strRef>
          </c:tx>
          <c:spPr>
            <a:solidFill>
              <a:schemeClr val="accent1"/>
            </a:solidFill>
          </c:spPr>
          <c:invertIfNegative val="0"/>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'!$N$88:$N$100</c:f>
              <c:numCache>
                <c:formatCode>General</c:formatCode>
                <c:ptCount val="13"/>
                <c:pt idx="0">
                  <c:v>4</c:v>
                </c:pt>
                <c:pt idx="1">
                  <c:v>1</c:v>
                </c:pt>
                <c:pt idx="2">
                  <c:v>5</c:v>
                </c:pt>
                <c:pt idx="3">
                  <c:v>6</c:v>
                </c:pt>
                <c:pt idx="4">
                  <c:v>9</c:v>
                </c:pt>
                <c:pt idx="5">
                  <c:v>6</c:v>
                </c:pt>
                <c:pt idx="6">
                  <c:v>9</c:v>
                </c:pt>
                <c:pt idx="7">
                  <c:v>4</c:v>
                </c:pt>
                <c:pt idx="8">
                  <c:v>14</c:v>
                </c:pt>
                <c:pt idx="9">
                  <c:v>10</c:v>
                </c:pt>
                <c:pt idx="10">
                  <c:v>7</c:v>
                </c:pt>
                <c:pt idx="11">
                  <c:v>8</c:v>
                </c:pt>
                <c:pt idx="12">
                  <c:v>7</c:v>
                </c:pt>
              </c:numCache>
            </c:numRef>
          </c:val>
        </c:ser>
        <c:ser>
          <c:idx val="3"/>
          <c:order val="3"/>
          <c:tx>
            <c:strRef>
              <c:f>'62 day '!$O$64</c:f>
              <c:strCache>
                <c:ptCount val="1"/>
                <c:pt idx="0">
                  <c:v>63-90 days</c:v>
                </c:pt>
              </c:strCache>
            </c:strRef>
          </c:tx>
          <c:spPr>
            <a:solidFill>
              <a:schemeClr val="accent6"/>
            </a:solidFill>
          </c:spPr>
          <c:invertIfNegative val="0"/>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'!$O$88:$O$100</c:f>
              <c:numCache>
                <c:formatCode>General</c:formatCode>
                <c:ptCount val="13"/>
                <c:pt idx="0">
                  <c:v>0</c:v>
                </c:pt>
                <c:pt idx="1">
                  <c:v>3</c:v>
                </c:pt>
                <c:pt idx="2">
                  <c:v>1</c:v>
                </c:pt>
                <c:pt idx="3">
                  <c:v>2</c:v>
                </c:pt>
                <c:pt idx="4">
                  <c:v>5</c:v>
                </c:pt>
                <c:pt idx="5">
                  <c:v>2</c:v>
                </c:pt>
                <c:pt idx="6">
                  <c:v>4</c:v>
                </c:pt>
                <c:pt idx="7">
                  <c:v>1</c:v>
                </c:pt>
                <c:pt idx="8">
                  <c:v>0</c:v>
                </c:pt>
                <c:pt idx="9">
                  <c:v>5</c:v>
                </c:pt>
                <c:pt idx="10">
                  <c:v>1</c:v>
                </c:pt>
                <c:pt idx="11">
                  <c:v>3</c:v>
                </c:pt>
                <c:pt idx="12">
                  <c:v>4</c:v>
                </c:pt>
              </c:numCache>
            </c:numRef>
          </c:val>
        </c:ser>
        <c:ser>
          <c:idx val="4"/>
          <c:order val="4"/>
          <c:tx>
            <c:strRef>
              <c:f>'62 day '!$P$64</c:f>
              <c:strCache>
                <c:ptCount val="1"/>
                <c:pt idx="0">
                  <c:v>90+ days</c:v>
                </c:pt>
              </c:strCache>
            </c:strRef>
          </c:tx>
          <c:spPr>
            <a:solidFill>
              <a:srgbClr val="FF0000"/>
            </a:solidFill>
          </c:spPr>
          <c:invertIfNegative val="0"/>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'!$P$89:$P$100</c:f>
              <c:numCache>
                <c:formatCode>General</c:formatCode>
                <c:ptCount val="12"/>
                <c:pt idx="0">
                  <c:v>0</c:v>
                </c:pt>
                <c:pt idx="1">
                  <c:v>0</c:v>
                </c:pt>
                <c:pt idx="2">
                  <c:v>2</c:v>
                </c:pt>
                <c:pt idx="3">
                  <c:v>0</c:v>
                </c:pt>
                <c:pt idx="4">
                  <c:v>2</c:v>
                </c:pt>
                <c:pt idx="5">
                  <c:v>1</c:v>
                </c:pt>
                <c:pt idx="6">
                  <c:v>1</c:v>
                </c:pt>
                <c:pt idx="7">
                  <c:v>2</c:v>
                </c:pt>
                <c:pt idx="8">
                  <c:v>1</c:v>
                </c:pt>
                <c:pt idx="9">
                  <c:v>1</c:v>
                </c:pt>
                <c:pt idx="10">
                  <c:v>2</c:v>
                </c:pt>
                <c:pt idx="11">
                  <c:v>4</c:v>
                </c:pt>
              </c:numCache>
            </c:numRef>
          </c:val>
        </c:ser>
        <c:dLbls>
          <c:showLegendKey val="0"/>
          <c:showVal val="0"/>
          <c:showCatName val="0"/>
          <c:showSerName val="0"/>
          <c:showPercent val="0"/>
          <c:showBubbleSize val="0"/>
        </c:dLbls>
        <c:gapWidth val="55"/>
        <c:overlap val="100"/>
        <c:axId val="207665792"/>
        <c:axId val="207679872"/>
      </c:barChart>
      <c:lineChart>
        <c:grouping val="standard"/>
        <c:varyColors val="0"/>
        <c:ser>
          <c:idx val="5"/>
          <c:order val="5"/>
          <c:tx>
            <c:strRef>
              <c:f>'62 day '!$Q$64</c:f>
              <c:strCache>
                <c:ptCount val="1"/>
                <c:pt idx="0">
                  <c:v>BwD %age meeting target</c:v>
                </c:pt>
              </c:strCache>
            </c:strRef>
          </c:tx>
          <c:spPr>
            <a:ln>
              <a:solidFill>
                <a:sysClr val="windowText" lastClr="000000"/>
              </a:solidFill>
            </a:ln>
          </c:spPr>
          <c:marker>
            <c:symbol val="none"/>
          </c:marker>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'!$Q$88:$Q$100</c:f>
              <c:numCache>
                <c:formatCode>General</c:formatCode>
                <c:ptCount val="13"/>
                <c:pt idx="0">
                  <c:v>96.3</c:v>
                </c:pt>
                <c:pt idx="1">
                  <c:v>86.4</c:v>
                </c:pt>
                <c:pt idx="2">
                  <c:v>95.2</c:v>
                </c:pt>
                <c:pt idx="3">
                  <c:v>86.7</c:v>
                </c:pt>
                <c:pt idx="4">
                  <c:v>86.1</c:v>
                </c:pt>
                <c:pt idx="5">
                  <c:v>84</c:v>
                </c:pt>
                <c:pt idx="6">
                  <c:v>80</c:v>
                </c:pt>
                <c:pt idx="7">
                  <c:v>92</c:v>
                </c:pt>
                <c:pt idx="8">
                  <c:v>93.8</c:v>
                </c:pt>
                <c:pt idx="9">
                  <c:v>82.9</c:v>
                </c:pt>
                <c:pt idx="10">
                  <c:v>92</c:v>
                </c:pt>
                <c:pt idx="11">
                  <c:v>80.8</c:v>
                </c:pt>
                <c:pt idx="12">
                  <c:v>70.400000000000006</c:v>
                </c:pt>
              </c:numCache>
            </c:numRef>
          </c:val>
          <c:smooth val="0"/>
        </c:ser>
        <c:ser>
          <c:idx val="6"/>
          <c:order val="6"/>
          <c:tx>
            <c:strRef>
              <c:f>'62 day '!$R$64</c:f>
              <c:strCache>
                <c:ptCount val="1"/>
                <c:pt idx="0">
                  <c:v>National %age meeting target</c:v>
                </c:pt>
              </c:strCache>
            </c:strRef>
          </c:tx>
          <c:spPr>
            <a:ln>
              <a:solidFill>
                <a:srgbClr val="FFC000"/>
              </a:solidFill>
            </a:ln>
          </c:spPr>
          <c:marker>
            <c:symbol val="none"/>
          </c:marker>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'!$R$88:$R$100</c:f>
              <c:numCache>
                <c:formatCode>General</c:formatCode>
                <c:ptCount val="13"/>
                <c:pt idx="0">
                  <c:v>83.7</c:v>
                </c:pt>
                <c:pt idx="1">
                  <c:v>82.7</c:v>
                </c:pt>
                <c:pt idx="2">
                  <c:v>80.8</c:v>
                </c:pt>
                <c:pt idx="3">
                  <c:v>81</c:v>
                </c:pt>
                <c:pt idx="4">
                  <c:v>81.5</c:v>
                </c:pt>
                <c:pt idx="5">
                  <c:v>82.3</c:v>
                </c:pt>
                <c:pt idx="6">
                  <c:v>81.2</c:v>
                </c:pt>
                <c:pt idx="7">
                  <c:v>81.5</c:v>
                </c:pt>
                <c:pt idx="8">
                  <c:v>83.1</c:v>
                </c:pt>
                <c:pt idx="9">
                  <c:v>84.8</c:v>
                </c:pt>
                <c:pt idx="10">
                  <c:v>80.7</c:v>
                </c:pt>
                <c:pt idx="11">
                  <c:v>80.599999999999994</c:v>
                </c:pt>
                <c:pt idx="12">
                  <c:v>83.7</c:v>
                </c:pt>
              </c:numCache>
            </c:numRef>
          </c:val>
          <c:smooth val="0"/>
        </c:ser>
        <c:ser>
          <c:idx val="7"/>
          <c:order val="7"/>
          <c:tx>
            <c:strRef>
              <c:f>'62 day '!$S$64</c:f>
              <c:strCache>
                <c:ptCount val="1"/>
                <c:pt idx="0">
                  <c:v>CWT target 85%</c:v>
                </c:pt>
              </c:strCache>
            </c:strRef>
          </c:tx>
          <c:spPr>
            <a:ln>
              <a:solidFill>
                <a:srgbClr val="F79646">
                  <a:lumMod val="75000"/>
                </a:srgbClr>
              </a:solidFill>
            </a:ln>
          </c:spPr>
          <c:marker>
            <c:symbol val="none"/>
          </c:marker>
          <c:cat>
            <c:strRef>
              <c:f>'62 day '!$K$88:$K$100</c:f>
              <c:strCache>
                <c:ptCount val="13"/>
                <c:pt idx="0">
                  <c:v>Mar 14/15</c:v>
                </c:pt>
                <c:pt idx="1">
                  <c:v>Apr 15/16</c:v>
                </c:pt>
                <c:pt idx="2">
                  <c:v>May 15/16</c:v>
                </c:pt>
                <c:pt idx="3">
                  <c:v>June 15/16</c:v>
                </c:pt>
                <c:pt idx="4">
                  <c:v>July 15/16</c:v>
                </c:pt>
                <c:pt idx="5">
                  <c:v>Aug 15/16</c:v>
                </c:pt>
                <c:pt idx="6">
                  <c:v>Sept 15/16</c:v>
                </c:pt>
                <c:pt idx="7">
                  <c:v>Oct 15/16</c:v>
                </c:pt>
                <c:pt idx="8">
                  <c:v>Nov 15/16</c:v>
                </c:pt>
                <c:pt idx="9">
                  <c:v>Dec 15/16</c:v>
                </c:pt>
                <c:pt idx="10">
                  <c:v>Jan 15/16</c:v>
                </c:pt>
                <c:pt idx="11">
                  <c:v>Feb 15/16</c:v>
                </c:pt>
                <c:pt idx="12">
                  <c:v>Mar 15/16</c:v>
                </c:pt>
              </c:strCache>
            </c:strRef>
          </c:cat>
          <c:val>
            <c:numRef>
              <c:f>'62 day '!$S$88:$S$100</c:f>
              <c:numCache>
                <c:formatCode>General</c:formatCode>
                <c:ptCount val="13"/>
                <c:pt idx="0">
                  <c:v>85</c:v>
                </c:pt>
                <c:pt idx="1">
                  <c:v>85</c:v>
                </c:pt>
                <c:pt idx="2">
                  <c:v>85</c:v>
                </c:pt>
                <c:pt idx="3">
                  <c:v>85</c:v>
                </c:pt>
                <c:pt idx="4">
                  <c:v>85</c:v>
                </c:pt>
                <c:pt idx="5">
                  <c:v>85</c:v>
                </c:pt>
                <c:pt idx="6">
                  <c:v>85</c:v>
                </c:pt>
                <c:pt idx="7">
                  <c:v>85</c:v>
                </c:pt>
                <c:pt idx="8">
                  <c:v>85</c:v>
                </c:pt>
                <c:pt idx="9">
                  <c:v>85</c:v>
                </c:pt>
                <c:pt idx="10">
                  <c:v>85</c:v>
                </c:pt>
                <c:pt idx="11">
                  <c:v>85</c:v>
                </c:pt>
                <c:pt idx="12">
                  <c:v>85</c:v>
                </c:pt>
              </c:numCache>
            </c:numRef>
          </c:val>
          <c:smooth val="0"/>
        </c:ser>
        <c:dLbls>
          <c:showLegendKey val="0"/>
          <c:showVal val="0"/>
          <c:showCatName val="0"/>
          <c:showSerName val="0"/>
          <c:showPercent val="0"/>
          <c:showBubbleSize val="0"/>
        </c:dLbls>
        <c:marker val="1"/>
        <c:smooth val="0"/>
        <c:axId val="208380288"/>
        <c:axId val="207681792"/>
      </c:lineChart>
      <c:catAx>
        <c:axId val="207665792"/>
        <c:scaling>
          <c:orientation val="minMax"/>
        </c:scaling>
        <c:delete val="0"/>
        <c:axPos val="b"/>
        <c:numFmt formatCode="General" sourceLinked="1"/>
        <c:majorTickMark val="none"/>
        <c:minorTickMark val="none"/>
        <c:tickLblPos val="nextTo"/>
        <c:crossAx val="207679872"/>
        <c:crosses val="autoZero"/>
        <c:auto val="1"/>
        <c:lblAlgn val="ctr"/>
        <c:lblOffset val="100"/>
        <c:noMultiLvlLbl val="0"/>
      </c:catAx>
      <c:valAx>
        <c:axId val="207679872"/>
        <c:scaling>
          <c:orientation val="minMax"/>
        </c:scaling>
        <c:delete val="0"/>
        <c:axPos val="l"/>
        <c:majorGridlines/>
        <c:title>
          <c:tx>
            <c:rich>
              <a:bodyPr rot="0" vert="wordArtVert"/>
              <a:lstStyle/>
              <a:p>
                <a:pPr>
                  <a:defRPr/>
                </a:pPr>
                <a:r>
                  <a:rPr lang="en-US"/>
                  <a:t>Referrals</a:t>
                </a:r>
              </a:p>
            </c:rich>
          </c:tx>
          <c:layout>
            <c:manualLayout>
              <c:xMode val="edge"/>
              <c:yMode val="edge"/>
              <c:x val="3.1350887369630278E-3"/>
              <c:y val="0.27143773694954798"/>
            </c:manualLayout>
          </c:layout>
          <c:overlay val="0"/>
        </c:title>
        <c:numFmt formatCode="General" sourceLinked="1"/>
        <c:majorTickMark val="none"/>
        <c:minorTickMark val="none"/>
        <c:tickLblPos val="nextTo"/>
        <c:crossAx val="207665792"/>
        <c:crosses val="autoZero"/>
        <c:crossBetween val="between"/>
      </c:valAx>
      <c:valAx>
        <c:axId val="207681792"/>
        <c:scaling>
          <c:orientation val="minMax"/>
          <c:max val="100"/>
          <c:min val="0"/>
        </c:scaling>
        <c:delete val="0"/>
        <c:axPos val="r"/>
        <c:title>
          <c:tx>
            <c:rich>
              <a:bodyPr rot="0" vert="wordArtVert"/>
              <a:lstStyle/>
              <a:p>
                <a:pPr>
                  <a:defRPr/>
                </a:pPr>
                <a:r>
                  <a:rPr lang="en-US"/>
                  <a:t>Percentage</a:t>
                </a:r>
              </a:p>
            </c:rich>
          </c:tx>
          <c:layout>
            <c:manualLayout>
              <c:xMode val="edge"/>
              <c:yMode val="edge"/>
              <c:x val="0.79110292970135487"/>
              <c:y val="0.24654232662616288"/>
            </c:manualLayout>
          </c:layout>
          <c:overlay val="0"/>
        </c:title>
        <c:numFmt formatCode="General" sourceLinked="1"/>
        <c:majorTickMark val="out"/>
        <c:minorTickMark val="none"/>
        <c:tickLblPos val="nextTo"/>
        <c:crossAx val="208380288"/>
        <c:crosses val="max"/>
        <c:crossBetween val="between"/>
      </c:valAx>
      <c:catAx>
        <c:axId val="208380288"/>
        <c:scaling>
          <c:orientation val="minMax"/>
        </c:scaling>
        <c:delete val="1"/>
        <c:axPos val="b"/>
        <c:numFmt formatCode="General" sourceLinked="1"/>
        <c:majorTickMark val="out"/>
        <c:minorTickMark val="none"/>
        <c:tickLblPos val="nextTo"/>
        <c:crossAx val="207681792"/>
        <c:crosses val="autoZero"/>
        <c:auto val="1"/>
        <c:lblAlgn val="ctr"/>
        <c:lblOffset val="100"/>
        <c:noMultiLvlLbl val="0"/>
      </c:catAx>
    </c:plotArea>
    <c:legend>
      <c:legendPos val="r"/>
      <c:layout>
        <c:manualLayout>
          <c:xMode val="edge"/>
          <c:yMode val="edge"/>
          <c:x val="0.82968319500602961"/>
          <c:y val="0.27119159948162264"/>
          <c:w val="0.17031680499397034"/>
          <c:h val="0.51836765771750837"/>
        </c:manualLayout>
      </c:layout>
      <c:overlay val="0"/>
      <c:txPr>
        <a:bodyPr/>
        <a:lstStyle/>
        <a:p>
          <a:pPr>
            <a:defRPr sz="800"/>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A3EF5-06AB-42D6-94F0-8ED3AF8E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2349</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Dunne Angela (ELCCG)</dc:creator>
  <cp:lastModifiedBy>Smith Neil (BWDCCG)</cp:lastModifiedBy>
  <cp:revision>2</cp:revision>
  <cp:lastPrinted>2016-01-13T14:17:00Z</cp:lastPrinted>
  <dcterms:created xsi:type="dcterms:W3CDTF">2016-12-13T15:03:00Z</dcterms:created>
  <dcterms:modified xsi:type="dcterms:W3CDTF">2016-12-13T15:03:00Z</dcterms:modified>
</cp:coreProperties>
</file>